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60"/>
        <w:jc w:val="center"/>
        <w:rPr>
          <w:sz w:val="24"/>
          <w:szCs w:val="24"/>
        </w:rPr>
      </w:pPr>
      <w:r>
        <w:rPr>
          <w:rFonts w:eastAsia="Calibri"/>
          <w:b/>
          <w:bCs/>
          <w:color w:val="1f3864"/>
          <w:sz w:val="24"/>
          <w:szCs w:val="24"/>
        </w:rPr>
        <w:t>GIFT CHUKWUFUMNAYA ODIBE</w:t>
      </w:r>
    </w:p>
    <w:p>
      <w:pPr>
        <w:pStyle w:val="style0"/>
        <w:spacing w:after="40"/>
        <w:jc w:val="center"/>
        <w:rPr>
          <w:sz w:val="24"/>
          <w:szCs w:val="24"/>
        </w:rPr>
      </w:pPr>
      <w:r>
        <w:rPr>
          <w:rFonts w:eastAsia="Calibri"/>
          <w:color w:val="555555"/>
          <w:sz w:val="24"/>
          <w:szCs w:val="24"/>
        </w:rPr>
        <w:t>09085845046  |</w:t>
      </w:r>
      <w:r>
        <w:rPr>
          <w:rFonts w:eastAsia="Calibri"/>
          <w:color w:val="555555"/>
          <w:sz w:val="24"/>
          <w:szCs w:val="24"/>
        </w:rPr>
        <w:t xml:space="preserve">  odibegift@gmail.com</w:t>
      </w:r>
    </w:p>
    <w:p>
      <w:pPr>
        <w:pStyle w:val="style0"/>
        <w:pBdr>
          <w:bottom w:val="single" w:sz="8" w:space="1" w:color="1f3864"/>
        </w:pBdr>
        <w:spacing w:before="60" w:after="180"/>
        <w:rPr>
          <w:sz w:val="24"/>
          <w:szCs w:val="24"/>
        </w:rPr>
      </w:pPr>
    </w:p>
    <w:p>
      <w:pPr>
        <w:pStyle w:val="style0"/>
        <w:pBdr>
          <w:bottom w:val="single" w:sz="6" w:space="1" w:color="1f3864"/>
        </w:pBdr>
        <w:spacing w:before="240" w:after="80"/>
        <w:rPr>
          <w:sz w:val="24"/>
          <w:szCs w:val="24"/>
        </w:rPr>
      </w:pPr>
      <w:r>
        <w:rPr>
          <w:rFonts w:eastAsia="Calibri"/>
          <w:b/>
          <w:bCs/>
          <w:color w:val="1f3864"/>
          <w:sz w:val="24"/>
          <w:szCs w:val="24"/>
        </w:rPr>
        <w:t>PROFESSIONAL SUMMARY</w:t>
      </w:r>
    </w:p>
    <w:p>
      <w:pPr>
        <w:pStyle w:val="style0"/>
        <w:spacing w:before="80" w:after="8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Results-driven Criminology and Security Studies graduate with hands-on experience in risk consulting, field operations coordination, investigations, and security research. Demonstrated ability to manage complex operational workflows, produce detailed analytical reports, and support cross-functional teams in dynamic environments. Adept at applying criminological frameworks to real-world security challenges with a strong commitment to safety, integrity, and justice.</w:t>
      </w:r>
    </w:p>
    <w:p>
      <w:pPr>
        <w:pStyle w:val="style0"/>
        <w:pBdr>
          <w:bottom w:val="single" w:sz="6" w:space="1" w:color="1f3864"/>
        </w:pBdr>
        <w:spacing w:before="240" w:after="80"/>
        <w:rPr>
          <w:sz w:val="24"/>
          <w:szCs w:val="24"/>
        </w:rPr>
      </w:pPr>
      <w:r>
        <w:rPr>
          <w:rFonts w:eastAsia="Calibri"/>
          <w:b/>
          <w:bCs/>
          <w:color w:val="1f3864"/>
          <w:sz w:val="24"/>
          <w:szCs w:val="24"/>
        </w:rPr>
        <w:t>PROFESSIONAL EXPERIENCE</w:t>
      </w:r>
    </w:p>
    <w:p>
      <w:pPr>
        <w:pStyle w:val="style0"/>
        <w:tabs>
          <w:tab w:val="right" w:leader="none" w:pos="9360"/>
        </w:tabs>
        <w:spacing w:before="180" w:after="20"/>
        <w:rPr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Risk Consulting Associate</w:t>
      </w:r>
      <w:r>
        <w:rPr>
          <w:rFonts w:eastAsia="Calibri"/>
          <w:i/>
          <w:iCs/>
          <w:color w:val="555555"/>
          <w:sz w:val="24"/>
          <w:szCs w:val="24"/>
        </w:rPr>
        <w:tab/>
      </w:r>
      <w:r>
        <w:rPr>
          <w:rFonts w:eastAsia="Calibri"/>
          <w:i/>
          <w:iCs/>
          <w:color w:val="555555"/>
          <w:sz w:val="24"/>
          <w:szCs w:val="24"/>
        </w:rPr>
        <w:t>March 2026 – Present</w:t>
      </w:r>
    </w:p>
    <w:p>
      <w:pPr>
        <w:pStyle w:val="style0"/>
        <w:spacing w:after="60"/>
        <w:rPr>
          <w:sz w:val="24"/>
          <w:szCs w:val="24"/>
        </w:rPr>
      </w:pPr>
      <w:r>
        <w:rPr>
          <w:rFonts w:eastAsia="Calibri"/>
          <w:i/>
          <w:iCs/>
          <w:color w:val="555555"/>
          <w:sz w:val="24"/>
          <w:szCs w:val="24"/>
        </w:rPr>
        <w:t>Halogen Security Group — Lagos, Nigeria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Support the Security Risk Consulting team in conducting security risk assessments across diverse client sectors including estates, financial institutions, hospitality, and education.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Assist in preparing comprehensive security risk assessment reports, intelligence briefs, and client-facing deliverables.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Conduct desk-based research and compile open-source intelligence data to support ongoing consulting projects.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Participate in site visits and field inspections, documenting findings and contributing to risk evaluation frameworks.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Contribute to business development activities including prospecting, outreach documentation, and proposal preparation.</w:t>
      </w:r>
    </w:p>
    <w:p>
      <w:pPr>
        <w:pStyle w:val="style0"/>
        <w:tabs>
          <w:tab w:val="right" w:leader="none" w:pos="9360"/>
        </w:tabs>
        <w:spacing w:before="180" w:after="20"/>
        <w:rPr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Operations &amp; Field Coordination Officer</w:t>
      </w:r>
      <w:r>
        <w:rPr>
          <w:rFonts w:eastAsia="Calibri"/>
          <w:i/>
          <w:iCs/>
          <w:color w:val="555555"/>
          <w:sz w:val="24"/>
          <w:szCs w:val="24"/>
        </w:rPr>
        <w:tab/>
      </w:r>
      <w:r>
        <w:rPr>
          <w:rFonts w:eastAsia="Calibri"/>
          <w:i/>
          <w:iCs/>
          <w:color w:val="555555"/>
          <w:sz w:val="24"/>
          <w:szCs w:val="24"/>
        </w:rPr>
        <w:t>November 2025 – February 2026</w:t>
      </w:r>
    </w:p>
    <w:p>
      <w:pPr>
        <w:pStyle w:val="style0"/>
        <w:spacing w:after="60"/>
        <w:rPr>
          <w:sz w:val="24"/>
          <w:szCs w:val="24"/>
        </w:rPr>
      </w:pPr>
      <w:r>
        <w:rPr>
          <w:rFonts w:eastAsia="Calibri"/>
          <w:i/>
          <w:iCs/>
          <w:color w:val="555555"/>
          <w:sz w:val="24"/>
          <w:szCs w:val="24"/>
        </w:rPr>
        <w:t>Halogen Security Group — Lagos, Nigeria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Coordinated and supervised diesel validation officers across multiple clusters, ensuring efficient field coverage and schedule adherence.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Served as the primary communication link between validation officers, drivers, Field Service Engineers, and internal control teams.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Monitored real-time field activities via OfficeTrack and Smartsheet to ensure accurate data entry, reporting, and documentation.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Reviewed validation submissions to identify discrepancies and initiated corrective actions to maintain compliance with standard operating procedures.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Supported invoice review and reconciliation by compiling field evidence, screenshots, and validation records.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Managed cluster coverage and workload distribution to </w:t>
      </w:r>
      <w:r>
        <w:rPr>
          <w:rFonts w:eastAsia="Calibri"/>
          <w:color w:val="000000"/>
          <w:sz w:val="24"/>
          <w:szCs w:val="24"/>
        </w:rPr>
        <w:t>optimise</w:t>
      </w:r>
      <w:r>
        <w:rPr>
          <w:rFonts w:eastAsia="Calibri"/>
          <w:color w:val="000000"/>
          <w:sz w:val="24"/>
          <w:szCs w:val="24"/>
        </w:rPr>
        <w:t xml:space="preserve"> resource allocation across field teams.</w:t>
      </w:r>
    </w:p>
    <w:p>
      <w:pPr>
        <w:pStyle w:val="style0"/>
        <w:tabs>
          <w:tab w:val="right" w:leader="none" w:pos="9360"/>
        </w:tabs>
        <w:spacing w:before="180" w:after="20"/>
        <w:rPr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Consulting &amp; Research Associate</w:t>
      </w:r>
      <w:r>
        <w:rPr>
          <w:rFonts w:eastAsia="Calibri"/>
          <w:i/>
          <w:iCs/>
          <w:color w:val="555555"/>
          <w:sz w:val="24"/>
          <w:szCs w:val="24"/>
        </w:rPr>
        <w:tab/>
      </w:r>
      <w:r>
        <w:rPr>
          <w:rFonts w:eastAsia="Calibri"/>
          <w:i/>
          <w:iCs/>
          <w:color w:val="555555"/>
          <w:sz w:val="24"/>
          <w:szCs w:val="24"/>
        </w:rPr>
        <w:t xml:space="preserve">February 2024 – </w:t>
      </w:r>
      <w:r>
        <w:rPr>
          <w:rFonts w:eastAsia="Calibri"/>
          <w:i/>
          <w:iCs/>
          <w:color w:val="555555"/>
          <w:sz w:val="24"/>
          <w:szCs w:val="24"/>
        </w:rPr>
        <w:t xml:space="preserve">October </w:t>
      </w:r>
      <w:r>
        <w:rPr>
          <w:rFonts w:eastAsia="Calibri"/>
          <w:i/>
          <w:iCs/>
          <w:color w:val="555555"/>
          <w:sz w:val="24"/>
          <w:szCs w:val="24"/>
        </w:rPr>
        <w:t>202</w:t>
      </w:r>
      <w:r>
        <w:rPr>
          <w:rFonts w:eastAsia="Calibri"/>
          <w:i/>
          <w:iCs/>
          <w:color w:val="555555"/>
          <w:sz w:val="24"/>
          <w:szCs w:val="24"/>
        </w:rPr>
        <w:t>5</w:t>
      </w:r>
    </w:p>
    <w:p>
      <w:pPr>
        <w:pStyle w:val="style0"/>
        <w:spacing w:after="60"/>
        <w:rPr>
          <w:sz w:val="24"/>
          <w:szCs w:val="24"/>
        </w:rPr>
      </w:pPr>
      <w:r>
        <w:rPr>
          <w:rFonts w:eastAsia="Calibri"/>
          <w:i/>
          <w:iCs/>
          <w:color w:val="555555"/>
          <w:sz w:val="24"/>
          <w:szCs w:val="24"/>
        </w:rPr>
        <w:t>Victor and Victors Resources Limited — Lagos, Nigeria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Supported consulting activities by conducting research and compiling reports related to ongoing projects in dredging, real estate, and operations management.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Assisted in preparing for client meetings and site inspections, ensuring documentation and materials were </w:t>
      </w:r>
      <w:r>
        <w:rPr>
          <w:rFonts w:eastAsia="Calibri"/>
          <w:color w:val="000000"/>
          <w:sz w:val="24"/>
          <w:szCs w:val="24"/>
        </w:rPr>
        <w:t>organised</w:t>
      </w:r>
      <w:r>
        <w:rPr>
          <w:rFonts w:eastAsia="Calibri"/>
          <w:color w:val="000000"/>
          <w:sz w:val="24"/>
          <w:szCs w:val="24"/>
        </w:rPr>
        <w:t xml:space="preserve"> and accurate.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Participated in site visits, observing project operations and contributing to field reports and assessments.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Gained exposure to project management processes and cross-sector consulting methodologies.</w:t>
      </w:r>
    </w:p>
    <w:p>
      <w:pPr>
        <w:pStyle w:val="style0"/>
        <w:tabs>
          <w:tab w:val="right" w:leader="none" w:pos="9360"/>
        </w:tabs>
        <w:spacing w:before="180" w:after="20"/>
        <w:rPr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SIWES Intern</w:t>
      </w:r>
      <w:r>
        <w:rPr>
          <w:rFonts w:eastAsia="Calibri"/>
          <w:i/>
          <w:iCs/>
          <w:color w:val="555555"/>
          <w:sz w:val="24"/>
          <w:szCs w:val="24"/>
        </w:rPr>
        <w:tab/>
      </w:r>
      <w:r>
        <w:rPr>
          <w:rFonts w:eastAsia="Calibri"/>
          <w:i/>
          <w:iCs/>
          <w:color w:val="555555"/>
          <w:sz w:val="24"/>
          <w:szCs w:val="24"/>
        </w:rPr>
        <w:t>2025</w:t>
      </w:r>
    </w:p>
    <w:p>
      <w:pPr>
        <w:pStyle w:val="style0"/>
        <w:spacing w:after="60"/>
        <w:rPr>
          <w:sz w:val="24"/>
          <w:szCs w:val="24"/>
        </w:rPr>
      </w:pPr>
      <w:r>
        <w:rPr>
          <w:rFonts w:eastAsia="Calibri"/>
          <w:i/>
          <w:iCs/>
          <w:color w:val="555555"/>
          <w:sz w:val="24"/>
          <w:szCs w:val="24"/>
        </w:rPr>
        <w:t xml:space="preserve">Nigeria Security and Civil </w:t>
      </w:r>
      <w:r>
        <w:rPr>
          <w:rFonts w:eastAsia="Calibri"/>
          <w:i/>
          <w:iCs/>
          <w:color w:val="555555"/>
          <w:sz w:val="24"/>
          <w:szCs w:val="24"/>
        </w:rPr>
        <w:t>Defence</w:t>
      </w:r>
      <w:r>
        <w:rPr>
          <w:rFonts w:eastAsia="Calibri"/>
          <w:i/>
          <w:iCs/>
          <w:color w:val="555555"/>
          <w:sz w:val="24"/>
          <w:szCs w:val="24"/>
        </w:rPr>
        <w:t xml:space="preserve"> Corps (NSCDC)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Assisted the investigative team in documenting and processing complaints, ensuring incident reports were accurate, comprehensive, and properly filed.</w:t>
      </w:r>
    </w:p>
    <w:p>
      <w:pPr>
        <w:pStyle w:val="style179"/>
        <w:numPr>
          <w:ilvl w:val="0"/>
          <w:numId w:val="1"/>
        </w:numPr>
        <w:spacing w:before="40" w:after="40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Engaged directly with complainants to gather detailed information and facilitate smoother </w:t>
      </w:r>
      <w:r>
        <w:rPr>
          <w:rFonts w:eastAsia="Calibri"/>
          <w:color w:val="000000"/>
          <w:sz w:val="24"/>
          <w:szCs w:val="24"/>
          <w:lang w:val="en-US"/>
        </w:rPr>
        <w:t>no ¹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investigative processes.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Collaborated with senior officers during preliminary investigations, supporting interviews, evidence collection, and case documentation.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Participated in security operations and gained practical exposure to crime prevention strategies, surveillance techniques, and emergency response protocols.</w:t>
      </w:r>
    </w:p>
    <w:p>
      <w:pPr>
        <w:pStyle w:val="style0"/>
        <w:tabs>
          <w:tab w:val="right" w:leader="none" w:pos="9360"/>
        </w:tabs>
        <w:spacing w:before="180" w:after="20"/>
        <w:rPr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General Assistant</w:t>
      </w:r>
      <w:r>
        <w:rPr>
          <w:rFonts w:eastAsia="Calibri"/>
          <w:i/>
          <w:iCs/>
          <w:color w:val="555555"/>
          <w:sz w:val="24"/>
          <w:szCs w:val="24"/>
        </w:rPr>
        <w:tab/>
      </w:r>
      <w:r>
        <w:rPr>
          <w:rFonts w:eastAsia="Calibri"/>
          <w:i/>
          <w:iCs/>
          <w:color w:val="555555"/>
          <w:sz w:val="24"/>
          <w:szCs w:val="24"/>
        </w:rPr>
        <w:t>November 2019 – May 2021</w:t>
      </w:r>
    </w:p>
    <w:p>
      <w:pPr>
        <w:pStyle w:val="style0"/>
        <w:spacing w:after="60"/>
        <w:rPr>
          <w:sz w:val="24"/>
          <w:szCs w:val="24"/>
        </w:rPr>
      </w:pPr>
      <w:r>
        <w:rPr>
          <w:rFonts w:eastAsia="Calibri"/>
          <w:i/>
          <w:iCs/>
          <w:color w:val="555555"/>
          <w:sz w:val="24"/>
          <w:szCs w:val="24"/>
        </w:rPr>
        <w:t xml:space="preserve">YEMBAR Ventures – </w:t>
      </w:r>
      <w:r>
        <w:rPr>
          <w:rFonts w:eastAsia="Calibri"/>
          <w:i/>
          <w:iCs/>
          <w:color w:val="555555"/>
          <w:sz w:val="24"/>
          <w:szCs w:val="24"/>
        </w:rPr>
        <w:t>Miemie</w:t>
      </w:r>
      <w:r>
        <w:rPr>
          <w:rFonts w:eastAsia="Calibri"/>
          <w:i/>
          <w:iCs/>
          <w:color w:val="555555"/>
          <w:sz w:val="24"/>
          <w:szCs w:val="24"/>
        </w:rPr>
        <w:t xml:space="preserve"> Crayons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Performed marketing, customer service, and receptionist duties to support daily operations.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Managed customer inquiries and provided excellent service to ensure satisfaction.</w:t>
      </w:r>
    </w:p>
    <w:p>
      <w:pPr>
        <w:pStyle w:val="style179"/>
        <w:numPr>
          <w:ilvl w:val="0"/>
          <w:numId w:val="1"/>
        </w:numPr>
        <w:spacing w:before="4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Supported product packaging and production processes to maintain operational efficiency.</w:t>
      </w:r>
    </w:p>
    <w:p>
      <w:pPr>
        <w:pStyle w:val="style0"/>
        <w:pBdr>
          <w:bottom w:val="single" w:sz="6" w:space="1" w:color="1f3864"/>
        </w:pBdr>
        <w:spacing w:before="240" w:after="80"/>
        <w:rPr>
          <w:sz w:val="24"/>
          <w:szCs w:val="24"/>
        </w:rPr>
      </w:pPr>
      <w:r>
        <w:rPr>
          <w:rFonts w:eastAsia="Calibri"/>
          <w:b/>
          <w:bCs/>
          <w:color w:val="1f3864"/>
          <w:sz w:val="24"/>
          <w:szCs w:val="24"/>
        </w:rPr>
        <w:t>EDUCATION</w:t>
      </w:r>
    </w:p>
    <w:p>
      <w:pPr>
        <w:pStyle w:val="style0"/>
        <w:tabs>
          <w:tab w:val="right" w:leader="none" w:pos="9360"/>
        </w:tabs>
        <w:spacing w:before="120" w:after="2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B.Sc. Criminology and Security Studies</w:t>
      </w:r>
      <w:r>
        <w:rPr>
          <w:rFonts w:eastAsia="Calibri"/>
          <w:i/>
          <w:iCs/>
          <w:color w:val="555555"/>
          <w:sz w:val="24"/>
          <w:szCs w:val="24"/>
        </w:rPr>
        <w:tab/>
      </w:r>
      <w:r>
        <w:rPr>
          <w:rFonts w:eastAsia="Calibri"/>
          <w:i/>
          <w:iCs/>
          <w:color w:val="555555"/>
          <w:sz w:val="24"/>
          <w:szCs w:val="24"/>
        </w:rPr>
        <w:t>2025</w:t>
      </w:r>
    </w:p>
    <w:p>
      <w:pPr>
        <w:pStyle w:val="style0"/>
        <w:spacing w:after="20"/>
        <w:rPr>
          <w:sz w:val="24"/>
          <w:szCs w:val="24"/>
        </w:rPr>
      </w:pPr>
      <w:r>
        <w:rPr>
          <w:rFonts w:eastAsia="Calibri"/>
          <w:i/>
          <w:iCs/>
          <w:color w:val="555555"/>
          <w:sz w:val="24"/>
          <w:szCs w:val="24"/>
        </w:rPr>
        <w:t xml:space="preserve">University of </w:t>
      </w:r>
      <w:r>
        <w:rPr>
          <w:rFonts w:eastAsia="Calibri"/>
          <w:i/>
          <w:iCs/>
          <w:color w:val="555555"/>
          <w:sz w:val="24"/>
          <w:szCs w:val="24"/>
        </w:rPr>
        <w:t>Ilorin  |</w:t>
      </w:r>
      <w:r>
        <w:rPr>
          <w:rFonts w:eastAsia="Calibri"/>
          <w:i/>
          <w:iCs/>
          <w:color w:val="555555"/>
          <w:sz w:val="24"/>
          <w:szCs w:val="24"/>
        </w:rPr>
        <w:t xml:space="preserve">  Second Class Upper Division</w:t>
      </w:r>
    </w:p>
    <w:p>
      <w:pPr>
        <w:pStyle w:val="style0"/>
        <w:pBdr>
          <w:bottom w:val="single" w:sz="6" w:space="1" w:color="1f3864"/>
        </w:pBdr>
        <w:spacing w:before="240" w:after="80"/>
        <w:rPr>
          <w:sz w:val="24"/>
          <w:szCs w:val="24"/>
        </w:rPr>
      </w:pPr>
      <w:r>
        <w:rPr>
          <w:rFonts w:eastAsia="Calibri"/>
          <w:b/>
          <w:bCs/>
          <w:color w:val="1f3864"/>
          <w:sz w:val="24"/>
          <w:szCs w:val="24"/>
        </w:rPr>
        <w:t>CORE COMPETENCIES</w:t>
      </w:r>
    </w:p>
    <w:p>
      <w:pPr>
        <w:pStyle w:val="style0"/>
        <w:spacing w:before="80" w:after="40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Security Risk </w:t>
      </w:r>
      <w:r>
        <w:rPr>
          <w:rFonts w:eastAsia="Calibri"/>
          <w:color w:val="000000"/>
          <w:sz w:val="24"/>
          <w:szCs w:val="24"/>
        </w:rPr>
        <w:t>Assessment  •</w:t>
      </w:r>
      <w:r>
        <w:rPr>
          <w:rFonts w:eastAsia="Calibri"/>
          <w:color w:val="000000"/>
          <w:sz w:val="24"/>
          <w:szCs w:val="24"/>
        </w:rPr>
        <w:t xml:space="preserve">  Intelligence Research &amp; </w:t>
      </w:r>
      <w:r>
        <w:rPr>
          <w:rFonts w:eastAsia="Calibri"/>
          <w:color w:val="000000"/>
          <w:sz w:val="24"/>
          <w:szCs w:val="24"/>
        </w:rPr>
        <w:t>Reporting  •</w:t>
      </w:r>
      <w:r>
        <w:rPr>
          <w:rFonts w:eastAsia="Calibri"/>
          <w:color w:val="000000"/>
          <w:sz w:val="24"/>
          <w:szCs w:val="24"/>
        </w:rPr>
        <w:t xml:space="preserve">  Field Operations </w:t>
      </w:r>
      <w:r>
        <w:rPr>
          <w:rFonts w:eastAsia="Calibri"/>
          <w:color w:val="000000"/>
          <w:sz w:val="24"/>
          <w:szCs w:val="24"/>
        </w:rPr>
        <w:t>Coordination  •</w:t>
      </w:r>
      <w:r>
        <w:rPr>
          <w:rFonts w:eastAsia="Calibri"/>
          <w:color w:val="000000"/>
          <w:sz w:val="24"/>
          <w:szCs w:val="24"/>
        </w:rPr>
        <w:t xml:space="preserve">  Investigative </w:t>
      </w:r>
      <w:r>
        <w:rPr>
          <w:rFonts w:eastAsia="Calibri"/>
          <w:color w:val="000000"/>
          <w:sz w:val="24"/>
          <w:szCs w:val="24"/>
        </w:rPr>
        <w:t>Support  •</w:t>
      </w:r>
      <w:r>
        <w:rPr>
          <w:rFonts w:eastAsia="Calibri"/>
          <w:color w:val="000000"/>
          <w:sz w:val="24"/>
          <w:szCs w:val="24"/>
        </w:rPr>
        <w:t xml:space="preserve">  Report Writing &amp; </w:t>
      </w:r>
      <w:r>
        <w:rPr>
          <w:rFonts w:eastAsia="Calibri"/>
          <w:color w:val="000000"/>
          <w:sz w:val="24"/>
          <w:szCs w:val="24"/>
        </w:rPr>
        <w:t>Documentation  •</w:t>
      </w:r>
      <w:r>
        <w:rPr>
          <w:rFonts w:eastAsia="Calibri"/>
          <w:color w:val="000000"/>
          <w:sz w:val="24"/>
          <w:szCs w:val="24"/>
        </w:rPr>
        <w:t xml:space="preserve">  Data Collection &amp; </w:t>
      </w:r>
      <w:r>
        <w:rPr>
          <w:rFonts w:eastAsia="Calibri"/>
          <w:color w:val="000000"/>
          <w:sz w:val="24"/>
          <w:szCs w:val="24"/>
        </w:rPr>
        <w:t>Analysis  •</w:t>
      </w:r>
      <w:r>
        <w:rPr>
          <w:rFonts w:eastAsia="Calibri"/>
          <w:color w:val="000000"/>
          <w:sz w:val="24"/>
          <w:szCs w:val="24"/>
        </w:rPr>
        <w:t xml:space="preserve">  Stakeholder </w:t>
      </w:r>
      <w:r>
        <w:rPr>
          <w:rFonts w:eastAsia="Calibri"/>
          <w:color w:val="000000"/>
          <w:sz w:val="24"/>
          <w:szCs w:val="24"/>
        </w:rPr>
        <w:t>Communication  •</w:t>
      </w:r>
      <w:r>
        <w:rPr>
          <w:rFonts w:eastAsia="Calibri"/>
          <w:color w:val="000000"/>
          <w:sz w:val="24"/>
          <w:szCs w:val="24"/>
        </w:rPr>
        <w:t xml:space="preserve">  Criminal </w:t>
      </w:r>
      <w:r>
        <w:rPr>
          <w:rFonts w:eastAsia="Calibri"/>
          <w:color w:val="000000"/>
          <w:sz w:val="24"/>
          <w:szCs w:val="24"/>
        </w:rPr>
        <w:t>Profiling  •</w:t>
      </w:r>
      <w:r>
        <w:rPr>
          <w:rFonts w:eastAsia="Calibri"/>
          <w:color w:val="000000"/>
          <w:sz w:val="24"/>
          <w:szCs w:val="24"/>
        </w:rPr>
        <w:t xml:space="preserve">  Qualitative &amp; Quantitative </w:t>
      </w:r>
      <w:r>
        <w:rPr>
          <w:rFonts w:eastAsia="Calibri"/>
          <w:color w:val="000000"/>
          <w:sz w:val="24"/>
          <w:szCs w:val="24"/>
        </w:rPr>
        <w:t>Research  •</w:t>
      </w:r>
      <w:r>
        <w:rPr>
          <w:rFonts w:eastAsia="Calibri"/>
          <w:color w:val="000000"/>
          <w:sz w:val="24"/>
          <w:szCs w:val="24"/>
        </w:rPr>
        <w:t xml:space="preserve">  Conflict </w:t>
      </w:r>
      <w:r>
        <w:rPr>
          <w:rFonts w:eastAsia="Calibri"/>
          <w:color w:val="000000"/>
          <w:sz w:val="24"/>
          <w:szCs w:val="24"/>
        </w:rPr>
        <w:t>Resolution  •</w:t>
      </w:r>
      <w:r>
        <w:rPr>
          <w:rFonts w:eastAsia="Calibri"/>
          <w:color w:val="000000"/>
          <w:sz w:val="24"/>
          <w:szCs w:val="24"/>
        </w:rPr>
        <w:t xml:space="preserve">  Microsoft Office Suite (Word, Excel, </w:t>
      </w:r>
      <w:r>
        <w:rPr>
          <w:rFonts w:eastAsia="Calibri"/>
          <w:color w:val="000000"/>
          <w:sz w:val="24"/>
          <w:szCs w:val="24"/>
        </w:rPr>
        <w:t>PowerPoint)  •</w:t>
      </w:r>
      <w:r>
        <w:rPr>
          <w:rFonts w:eastAsia="Calibri"/>
          <w:color w:val="000000"/>
          <w:sz w:val="24"/>
          <w:szCs w:val="24"/>
        </w:rPr>
        <w:t xml:space="preserve">  </w:t>
      </w:r>
      <w:r>
        <w:rPr>
          <w:rFonts w:eastAsia="Calibri"/>
          <w:color w:val="000000"/>
          <w:sz w:val="24"/>
          <w:szCs w:val="24"/>
        </w:rPr>
        <w:t>Smartsheet  •</w:t>
      </w:r>
      <w:r>
        <w:rPr>
          <w:rFonts w:eastAsia="Calibri"/>
          <w:color w:val="000000"/>
          <w:sz w:val="24"/>
          <w:szCs w:val="24"/>
        </w:rPr>
        <w:t xml:space="preserve">  OfficeTrack</w:t>
      </w:r>
    </w:p>
    <w:sectPr>
      <w:pgSz w:w="12240" w:h="15840" w:orient="portrait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D7215E6"/>
    <w:lvl w:ilvl="0" w:tplc="6A862532">
      <w:start w:val="1"/>
      <w:numFmt w:val="bullet"/>
      <w:lvlText w:val="•"/>
      <w:lvlJc w:val="left"/>
      <w:pPr>
        <w:ind w:left="360" w:hanging="200"/>
      </w:pPr>
    </w:lvl>
    <w:lvl w:ilvl="1" w:tplc="4B847988">
      <w:start w:val="1"/>
      <w:numFmt w:val="decimal"/>
      <w:lvlText w:val=""/>
      <w:lvlJc w:val="left"/>
      <w:pPr/>
    </w:lvl>
    <w:lvl w:ilvl="2" w:tplc="DB76FCAA">
      <w:start w:val="1"/>
      <w:numFmt w:val="decimal"/>
      <w:lvlText w:val=""/>
      <w:lvlJc w:val="left"/>
      <w:pPr/>
    </w:lvl>
    <w:lvl w:ilvl="3" w:tplc="B8D4548A">
      <w:start w:val="1"/>
      <w:numFmt w:val="decimal"/>
      <w:lvlText w:val=""/>
      <w:lvlJc w:val="left"/>
      <w:pPr/>
    </w:lvl>
    <w:lvl w:ilvl="4" w:tplc="C2CCC778">
      <w:start w:val="1"/>
      <w:numFmt w:val="decimal"/>
      <w:lvlText w:val=""/>
      <w:lvlJc w:val="left"/>
      <w:pPr/>
    </w:lvl>
    <w:lvl w:ilvl="5" w:tplc="EFF2BDA2">
      <w:start w:val="1"/>
      <w:numFmt w:val="decimal"/>
      <w:lvlText w:val=""/>
      <w:lvlJc w:val="left"/>
      <w:pPr/>
    </w:lvl>
    <w:lvl w:ilvl="6" w:tplc="9E8271C0">
      <w:start w:val="1"/>
      <w:numFmt w:val="decimal"/>
      <w:lvlText w:val=""/>
      <w:lvlJc w:val="left"/>
      <w:pPr/>
    </w:lvl>
    <w:lvl w:ilvl="7" w:tplc="4202927A">
      <w:start w:val="1"/>
      <w:numFmt w:val="decimal"/>
      <w:lvlText w:val=""/>
      <w:lvlJc w:val="left"/>
      <w:pPr/>
    </w:lvl>
    <w:lvl w:ilvl="8" w:tplc="FB0818A0">
      <w:start w:val="1"/>
      <w:numFmt w:val="decimal"/>
      <w:lvlText w:val=""/>
      <w:lvlJc w:val="left"/>
      <w:pPr/>
    </w:lvl>
  </w:abstractNum>
  <w:abstractNum w:abstractNumId="1">
    <w:nsid w:val="00000001"/>
    <w:multiLevelType w:val="hybridMultilevel"/>
    <w:tmpl w:val="EAA6A658"/>
    <w:lvl w:ilvl="0" w:tplc="F11C66FE">
      <w:start w:val="1"/>
      <w:numFmt w:val="bullet"/>
      <w:lvlText w:val="●"/>
      <w:lvlJc w:val="left"/>
      <w:pPr>
        <w:ind w:left="720" w:hanging="360"/>
      </w:pPr>
    </w:lvl>
    <w:lvl w:ilvl="1" w:tplc="95D47680">
      <w:start w:val="1"/>
      <w:numFmt w:val="bullet"/>
      <w:lvlText w:val="○"/>
      <w:lvlJc w:val="left"/>
      <w:pPr>
        <w:ind w:left="1440" w:hanging="360"/>
      </w:pPr>
    </w:lvl>
    <w:lvl w:ilvl="2" w:tplc="779AABD8">
      <w:start w:val="1"/>
      <w:numFmt w:val="bullet"/>
      <w:lvlText w:val="■"/>
      <w:lvlJc w:val="left"/>
      <w:pPr>
        <w:ind w:left="2160" w:hanging="360"/>
      </w:pPr>
    </w:lvl>
    <w:lvl w:ilvl="3" w:tplc="F3D6150C">
      <w:start w:val="1"/>
      <w:numFmt w:val="bullet"/>
      <w:lvlText w:val="●"/>
      <w:lvlJc w:val="left"/>
      <w:pPr>
        <w:ind w:left="2880" w:hanging="360"/>
      </w:pPr>
    </w:lvl>
    <w:lvl w:ilvl="4" w:tplc="CE24C7EC">
      <w:start w:val="1"/>
      <w:numFmt w:val="bullet"/>
      <w:lvlText w:val="○"/>
      <w:lvlJc w:val="left"/>
      <w:pPr>
        <w:ind w:left="3600" w:hanging="360"/>
      </w:pPr>
    </w:lvl>
    <w:lvl w:ilvl="5" w:tplc="2F52A254">
      <w:start w:val="1"/>
      <w:numFmt w:val="bullet"/>
      <w:lvlText w:val="■"/>
      <w:lvlJc w:val="left"/>
      <w:pPr>
        <w:ind w:left="4320" w:hanging="360"/>
      </w:pPr>
    </w:lvl>
    <w:lvl w:ilvl="6" w:tplc="0B40FEC4">
      <w:start w:val="1"/>
      <w:numFmt w:val="bullet"/>
      <w:lvlText w:val="●"/>
      <w:lvlJc w:val="left"/>
      <w:pPr>
        <w:ind w:left="5040" w:hanging="360"/>
      </w:pPr>
    </w:lvl>
    <w:lvl w:ilvl="7" w:tplc="6F98A130">
      <w:start w:val="1"/>
      <w:numFmt w:val="bullet"/>
      <w:lvlText w:val="●"/>
      <w:lvlJc w:val="left"/>
      <w:pPr>
        <w:ind w:left="5760" w:hanging="360"/>
      </w:pPr>
    </w:lvl>
    <w:lvl w:ilvl="8" w:tplc="52002FE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next w:val="style1"/>
    <w:qFormat/>
    <w:uiPriority w:val="9"/>
    <w:pPr>
      <w:outlineLvl w:val="0"/>
    </w:pPr>
    <w:rPr>
      <w:color w:val="2e74b5"/>
      <w:sz w:val="32"/>
      <w:szCs w:val="32"/>
    </w:rPr>
  </w:style>
  <w:style w:type="paragraph" w:styleId="style2">
    <w:name w:val="heading 2"/>
    <w:next w:val="style2"/>
    <w:qFormat/>
    <w:uiPriority w:val="9"/>
    <w:pPr>
      <w:outlineLvl w:val="1"/>
    </w:pPr>
    <w:rPr>
      <w:color w:val="2e74b5"/>
      <w:sz w:val="26"/>
      <w:szCs w:val="26"/>
    </w:rPr>
  </w:style>
  <w:style w:type="paragraph" w:styleId="style3">
    <w:name w:val="heading 3"/>
    <w:next w:val="style3"/>
    <w:qFormat/>
    <w:uiPriority w:val="9"/>
    <w:pPr>
      <w:outlineLvl w:val="2"/>
    </w:pPr>
    <w:rPr>
      <w:color w:val="1f4d78"/>
      <w:sz w:val="24"/>
      <w:szCs w:val="24"/>
    </w:rPr>
  </w:style>
  <w:style w:type="paragraph" w:styleId="style4">
    <w:name w:val="heading 4"/>
    <w:next w:val="style4"/>
    <w:qFormat/>
    <w:uiPriority w:val="9"/>
    <w:pPr>
      <w:outlineLvl w:val="3"/>
    </w:pPr>
    <w:rPr>
      <w:i/>
      <w:iCs/>
      <w:color w:val="2e74b5"/>
    </w:rPr>
  </w:style>
  <w:style w:type="paragraph" w:styleId="style5">
    <w:name w:val="heading 5"/>
    <w:next w:val="style5"/>
    <w:qFormat/>
    <w:uiPriority w:val="9"/>
    <w:pPr>
      <w:outlineLvl w:val="4"/>
    </w:pPr>
    <w:rPr>
      <w:color w:val="2e74b5"/>
    </w:rPr>
  </w:style>
  <w:style w:type="paragraph" w:styleId="style6">
    <w:name w:val="heading 6"/>
    <w:next w:val="style6"/>
    <w:qFormat/>
    <w:uiPriority w:val="9"/>
    <w:pPr>
      <w:outlineLvl w:val="5"/>
    </w:pPr>
    <w:rPr>
      <w:color w:val="1f4d7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2">
    <w:name w:val="Title"/>
    <w:next w:val="style62"/>
    <w:qFormat/>
    <w:uiPriority w:val="10"/>
    <w:pPr/>
    <w:rPr>
      <w:sz w:val="56"/>
      <w:szCs w:val="56"/>
    </w:rPr>
  </w:style>
  <w:style w:type="paragraph" w:customStyle="1" w:styleId="style4097">
    <w:name w:val="Strong1"/>
    <w:next w:val="style4097"/>
    <w:qFormat/>
    <w:pPr/>
    <w:rPr>
      <w:b/>
      <w:bCs/>
    </w:rPr>
  </w:style>
  <w:style w:type="paragraph" w:styleId="style179">
    <w:name w:val="List Paragraph"/>
    <w:next w:val="style179"/>
    <w:qFormat/>
    <w:pPr/>
  </w:style>
  <w:style w:type="character" w:styleId="style85">
    <w:name w:val="Hyperlink"/>
    <w:next w:val="style85"/>
    <w:uiPriority w:val="99"/>
    <w:rPr>
      <w:color w:val="0563c1"/>
      <w:u w:val="single"/>
    </w:rPr>
  </w:style>
  <w:style w:type="character" w:styleId="style38">
    <w:name w:val="footnote reference"/>
    <w:next w:val="style38"/>
    <w:uiPriority w:val="99"/>
    <w:rPr>
      <w:vertAlign w:val="superscript"/>
    </w:rPr>
  </w:style>
  <w:style w:type="paragraph" w:styleId="style29">
    <w:name w:val="footnote text"/>
    <w:next w:val="style29"/>
    <w:link w:val="style4098"/>
    <w:uiPriority w:val="99"/>
    <w:pPr/>
  </w:style>
  <w:style w:type="character" w:customStyle="1" w:styleId="style4098">
    <w:name w:val="Footnote Text Char"/>
    <w:next w:val="style4098"/>
    <w:link w:val="style29"/>
    <w:uiPriority w:val="99"/>
    <w:rPr>
      <w:sz w:val="20"/>
      <w:szCs w:val="20"/>
    </w:rPr>
  </w:style>
  <w:style w:type="character" w:styleId="style42">
    <w:name w:val="endnote reference"/>
    <w:next w:val="style42"/>
    <w:uiPriority w:val="99"/>
    <w:rPr>
      <w:vertAlign w:val="superscript"/>
    </w:rPr>
  </w:style>
  <w:style w:type="paragraph" w:styleId="style43">
    <w:name w:val="endnote text"/>
    <w:next w:val="style43"/>
    <w:link w:val="style4099"/>
    <w:uiPriority w:val="99"/>
    <w:pPr/>
  </w:style>
  <w:style w:type="character" w:customStyle="1" w:styleId="style4099">
    <w:name w:val="Endnote Text Char"/>
    <w:next w:val="style4099"/>
    <w:link w:val="style43"/>
    <w:uiPriority w:val="99"/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Words>504</Words>
  <Pages>2</Pages>
  <Characters>3722</Characters>
  <Application>WPS Office</Application>
  <DocSecurity>0</DocSecurity>
  <Paragraphs>44</Paragraphs>
  <ScaleCrop>false</ScaleCrop>
  <LinksUpToDate>false</LinksUpToDate>
  <CharactersWithSpaces>4231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2026-05-19T21:19:00Z</dcterms:created>
  <dc:creator>Un-named</dc:creator>
  <lastModifiedBy>2409BRN2CA</lastModifiedBy>
  <dcterms:modified xsi:type="dcterms:W3CDTF">2026-05-24T14:56:55Z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bb210a492f4a4c3bb85b559e5d6707ce</vt:lpwstr>
  </property>
</Properties>
</file>