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Relationships xmlns="http://schemas.openxmlformats.org/package/2006/relationships"><Relationship Type="http://schemas.openxmlformats.org/officeDocument/2006/relationships/officeDocument" Target="word/document.xml" Id="R9a0bb170e43346ce" /></Relationships>
</file>

<file path=word/document.xml><?xml version="1.0" encoding="utf-8"?>
<w:document xmlns:w="http://schemas.openxmlformats.org/wordprocessingml/2006/main">
  <w:body>
    <w:p>
      <w:pPr>
        <w:spacing w:after="80"/>
        <w:jc w:val="center"/>
      </w:pPr>
      <w:r>
        <w:rPr>
          <w:rFonts w:ascii="Calibri Light" w:hAnsi="Calibri Light"/>
          <w:b/>
          <w:color w:val="1a1a1a"/>
          <w:sz w:val="48"/>
        </w:rPr>
        <w:t>IKEH CHIDERA JOHN</w:t>
      </w:r>
    </w:p>
    <w:p>
      <w:pPr>
        <w:spacing w:after="120"/>
        <w:jc w:val="center"/>
      </w:pPr>
      <w:r>
        <w:rPr>
          <w:rFonts w:ascii="Calibri" w:hAnsi="Calibri"/>
          <w:color w:val="6e6e6e"/>
          <w:spacing w:val="60"/>
          <w:sz w:val="18"/>
        </w:rPr>
        <w:t>BUSINESS EXECUTIVE &amp; STRATEGIC LEADER</w:t>
      </w:r>
    </w:p>
    <w:p>
      <w:pPr>
        <w:spacing w:after="360"/>
        <w:jc w:val="center"/>
      </w:pPr>
      <w:r>
        <w:rPr>
          <w:color w:val="4a4a4a"/>
          <w:sz w:val="18"/>
        </w:rPr>
        <w:t xml:space="preserve">Abuja, Nigeria</w:t>
      </w:r>
      <w:r>
        <w:rPr>
          <w:color w:val="6e6e6e"/>
          <w:sz w:val="18"/>
        </w:rPr>
        <w:t xml:space="preserve">  |  </w:t>
      </w:r>
      <w:r>
        <w:rPr>
          <w:color w:val="4a4a4a"/>
          <w:sz w:val="18"/>
        </w:rPr>
        <w:t xml:space="preserve">+234 909 699 4985</w:t>
      </w:r>
      <w:r>
        <w:rPr>
          <w:color w:val="6e6e6e"/>
          <w:sz w:val="18"/>
        </w:rPr>
        <w:t xml:space="preserve">  |  </w:t>
      </w:r>
      <w:r>
        <w:rPr>
          <w:color w:val="4a4a4a"/>
          <w:sz w:val="18"/>
        </w:rPr>
        <w:t xml:space="preserve">c.ikeh1999@gmail.com</w:t>
      </w:r>
    </w:p>
    <w:p>
      <w:pPr>
        <w:pBdr>
          <w:bottom w:val="single" w:color="b0b0b0" w:sz="6" w:space="1"/>
        </w:pBdr>
        <w:spacing w:after="280"/>
      </w:pPr>
      <w:r/>
    </w:p>
    <w:p>
      <w:pPr>
        <w:pBdr>
          <w:bottom w:val="single" w:color="b0b0b0" w:sz="4" w:space="4"/>
        </w:pBdr>
        <w:spacing w:before="240" w:after="160"/>
      </w:pPr>
      <w:r>
        <w:rPr>
          <w:rFonts w:ascii="Calibri" w:hAnsi="Calibri"/>
          <w:b/>
          <w:color w:val="1a1a1a"/>
          <w:spacing w:val="20"/>
          <w:sz w:val="22"/>
        </w:rPr>
        <w:t>PROFESSIONAL SUMMARY</w:t>
      </w:r>
    </w:p>
    <w:p>
      <w:pPr>
        <w:spacing w:after="360" w:line="276" w:lineRule="auto"/>
        <w:jc w:val="both"/>
      </w:pPr>
      <w:r>
        <w:rPr>
          <w:color w:val="4a4a4a"/>
          <w:sz w:val="20"/>
        </w:rPr>
        <w:t>Dynamic and results-driven business executive with proven expertise in strategic leadership, business development, and organizational growth. Demonstrated track record of driving revenue expansion, building high-performance teams, and delivering exceptional stakeholder value across financial services, asset management, and B2B sectors. Strong foundation in data-driven decision making, market analysis, and operational excellence. Currently pursuing an MBA to further enhance strategic management capabilities and executive leadership acumen.</w:t>
      </w:r>
    </w:p>
    <w:p>
      <w:pPr>
        <w:pBdr>
          <w:bottom w:val="single" w:color="b0b0b0" w:sz="4" w:space="4"/>
        </w:pBdr>
        <w:spacing w:before="240" w:after="160"/>
      </w:pPr>
      <w:r>
        <w:rPr>
          <w:rFonts w:ascii="Calibri" w:hAnsi="Calibri"/>
          <w:b/>
          <w:color w:val="1a1a1a"/>
          <w:spacing w:val="20"/>
          <w:sz w:val="22"/>
        </w:rPr>
        <w:t>CORE COMPETENCIES</w:t>
      </w:r>
    </w:p>
    <w:tbl>
      <w:tblPr>
        <w:tblW w:w="5000" w:type="pct"/>
        <w:tblBorders>
          <w:top w:val="nil"/>
          <w:left w:val="nil"/>
          <w:bottom w:val="nil"/>
          <w:right w:val="nil"/>
          <w:insideH w:val="nil"/>
          <w:insideV w:val="nil"/>
        </w:tblBorders>
      </w:tblPr>
      <w:tblGrid>
        <w:gridCol w:w="5000"/>
        <w:gridCol w:w="5000"/>
      </w:tblGrid>
      <w:tr>
        <w:tc>
          <w:tcPr>
            <w:tcW w:w="5000" w:type="pct"/>
          </w:tcPr>
          <w:p>
            <w:pPr>
              <w:tabs>
                <w:tab w:val="left" w:pos="360"/>
              </w:tabs>
              <w:spacing w:after="80" w:line="240" w:lineRule="auto"/>
            </w:pPr>
            <w:r>
              <w:rPr>
                <w:color w:val="4a4a4a"/>
                <w:sz w:val="20"/>
              </w:rPr>
              <w:t xml:space="preserve">•  </w:t>
            </w:r>
            <w:r>
              <w:rPr>
                <w:color w:val="4a4a4a"/>
                <w:sz w:val="20"/>
              </w:rPr>
              <w:t>Strategic Planning &amp; Business Development</w:t>
            </w:r>
          </w:p>
        </w:tc>
        <w:tc>
          <w:tcPr>
            <w:tcW w:w="5000" w:type="pct"/>
          </w:tcPr>
          <w:p>
            <w:pPr>
              <w:tabs>
                <w:tab w:val="left" w:pos="360"/>
              </w:tabs>
              <w:spacing w:after="80" w:line="240" w:lineRule="auto"/>
            </w:pPr>
            <w:r>
              <w:rPr>
                <w:color w:val="4a4a4a"/>
                <w:sz w:val="20"/>
              </w:rPr>
              <w:t xml:space="preserve">•  </w:t>
            </w:r>
            <w:r>
              <w:rPr>
                <w:color w:val="4a4a4a"/>
                <w:sz w:val="20"/>
              </w:rPr>
              <w:t>Revenue Growth &amp; P&amp;L Management</w:t>
            </w:r>
          </w:p>
        </w:tc>
      </w:tr>
      <w:tr>
        <w:tc>
          <w:tcPr>
            <w:tcW w:w="5000" w:type="pct"/>
          </w:tcPr>
          <w:p>
            <w:pPr>
              <w:tabs>
                <w:tab w:val="left" w:pos="360"/>
              </w:tabs>
              <w:spacing w:after="80" w:line="240" w:lineRule="auto"/>
            </w:pPr>
            <w:r>
              <w:rPr>
                <w:color w:val="4a4a4a"/>
                <w:sz w:val="20"/>
              </w:rPr>
              <w:t xml:space="preserve">•  </w:t>
            </w:r>
            <w:r>
              <w:rPr>
                <w:color w:val="4a4a4a"/>
                <w:sz w:val="20"/>
              </w:rPr>
              <w:t>Executive Leadership &amp; Team Building</w:t>
            </w:r>
          </w:p>
        </w:tc>
        <w:tc>
          <w:tcPr>
            <w:tcW w:w="5000" w:type="pct"/>
          </w:tcPr>
          <w:p>
            <w:pPr>
              <w:tabs>
                <w:tab w:val="left" w:pos="360"/>
              </w:tabs>
              <w:spacing w:after="80" w:line="240" w:lineRule="auto"/>
            </w:pPr>
            <w:r>
              <w:rPr>
                <w:color w:val="4a4a4a"/>
                <w:sz w:val="20"/>
              </w:rPr>
              <w:t xml:space="preserve">•  </w:t>
            </w:r>
            <w:r>
              <w:rPr>
                <w:color w:val="4a4a4a"/>
                <w:sz w:val="20"/>
              </w:rPr>
              <w:t>Stakeholder &amp; Client Relationship Management</w:t>
            </w:r>
          </w:p>
        </w:tc>
      </w:tr>
      <w:tr>
        <w:tc>
          <w:tcPr>
            <w:tcW w:w="5000" w:type="pct"/>
          </w:tcPr>
          <w:p>
            <w:pPr>
              <w:tabs>
                <w:tab w:val="left" w:pos="360"/>
              </w:tabs>
              <w:spacing w:after="80" w:line="240" w:lineRule="auto"/>
            </w:pPr>
            <w:r>
              <w:rPr>
                <w:color w:val="4a4a4a"/>
                <w:sz w:val="20"/>
              </w:rPr>
              <w:t xml:space="preserve">•  </w:t>
            </w:r>
            <w:r>
              <w:rPr>
                <w:color w:val="4a4a4a"/>
                <w:sz w:val="20"/>
              </w:rPr>
              <w:t>Market Analysis &amp; Competitive Intelligence</w:t>
            </w:r>
          </w:p>
        </w:tc>
        <w:tc>
          <w:tcPr>
            <w:tcW w:w="5000" w:type="pct"/>
          </w:tcPr>
          <w:p>
            <w:pPr>
              <w:tabs>
                <w:tab w:val="left" w:pos="360"/>
              </w:tabs>
              <w:spacing w:after="80" w:line="240" w:lineRule="auto"/>
            </w:pPr>
            <w:r>
              <w:rPr>
                <w:color w:val="4a4a4a"/>
                <w:sz w:val="20"/>
              </w:rPr>
              <w:t xml:space="preserve">•  </w:t>
            </w:r>
            <w:r>
              <w:rPr>
                <w:color w:val="4a4a4a"/>
                <w:sz w:val="20"/>
              </w:rPr>
              <w:t>Data Analytics &amp; Business Intelligence</w:t>
            </w:r>
          </w:p>
        </w:tc>
      </w:tr>
      <w:tr>
        <w:tc>
          <w:tcPr>
            <w:tcW w:w="5000" w:type="pct"/>
          </w:tcPr>
          <w:p>
            <w:pPr>
              <w:tabs>
                <w:tab w:val="left" w:pos="360"/>
              </w:tabs>
              <w:spacing w:after="80" w:line="240" w:lineRule="auto"/>
            </w:pPr>
            <w:r>
              <w:rPr>
                <w:color w:val="4a4a4a"/>
                <w:sz w:val="20"/>
              </w:rPr>
              <w:t xml:space="preserve">•  </w:t>
            </w:r>
            <w:r>
              <w:rPr>
                <w:color w:val="4a4a4a"/>
                <w:sz w:val="20"/>
              </w:rPr>
              <w:t>Contract Negotiation &amp; Deal Closure</w:t>
            </w:r>
          </w:p>
        </w:tc>
        <w:tc>
          <w:tcPr>
            <w:tcW w:w="5000" w:type="pct"/>
          </w:tcPr>
          <w:p>
            <w:pPr>
              <w:tabs>
                <w:tab w:val="left" w:pos="360"/>
              </w:tabs>
              <w:spacing w:after="80" w:line="240" w:lineRule="auto"/>
            </w:pPr>
            <w:r>
              <w:rPr>
                <w:color w:val="4a4a4a"/>
                <w:sz w:val="20"/>
              </w:rPr>
              <w:t xml:space="preserve">•  </w:t>
            </w:r>
            <w:r>
              <w:rPr>
                <w:color w:val="4a4a4a"/>
                <w:sz w:val="20"/>
              </w:rPr>
              <w:t>Operational Excellence &amp; Process Optimization</w:t>
            </w:r>
          </w:p>
        </w:tc>
      </w:tr>
      <w:tr>
        <w:tc>
          <w:tcPr>
            <w:tcW w:w="5000" w:type="pct"/>
          </w:tcPr>
          <w:p>
            <w:pPr>
              <w:tabs>
                <w:tab w:val="left" w:pos="360"/>
              </w:tabs>
              <w:spacing w:after="80" w:line="240" w:lineRule="auto"/>
            </w:pPr>
            <w:r>
              <w:rPr>
                <w:color w:val="4a4a4a"/>
                <w:sz w:val="20"/>
              </w:rPr>
              <w:t xml:space="preserve">•  </w:t>
            </w:r>
            <w:r>
              <w:rPr>
                <w:color w:val="4a4a4a"/>
                <w:sz w:val="20"/>
              </w:rPr>
              <w:t>Change Management &amp; Organizational Development</w:t>
            </w:r>
          </w:p>
        </w:tc>
        <w:tc>
          <w:tcPr>
            <w:tcW w:w="5000" w:type="pct"/>
          </w:tcPr>
          <w:p>
            <w:pPr>
              <w:tabs>
                <w:tab w:val="left" w:pos="360"/>
              </w:tabs>
              <w:spacing w:after="80" w:line="240" w:lineRule="auto"/>
            </w:pPr>
            <w:r>
              <w:rPr>
                <w:color w:val="4a4a4a"/>
                <w:sz w:val="20"/>
              </w:rPr>
              <w:t xml:space="preserve">•  </w:t>
            </w:r>
            <w:r>
              <w:rPr>
                <w:color w:val="4a4a4a"/>
                <w:sz w:val="20"/>
              </w:rPr>
              <w:t>Cross-Functional Collaboration</w:t>
            </w:r>
          </w:p>
        </w:tc>
      </w:tr>
    </w:tbl>
    <w:p>
      <w:pPr>
        <w:spacing w:after="120"/>
      </w:pPr>
    </w:p>
    <w:p>
      <w:pPr>
        <w:pBdr>
          <w:bottom w:val="single" w:color="b0b0b0" w:sz="4" w:space="4"/>
        </w:pBdr>
        <w:spacing w:before="240" w:after="160"/>
      </w:pPr>
      <w:r>
        <w:rPr>
          <w:rFonts w:ascii="Calibri" w:hAnsi="Calibri"/>
          <w:b/>
          <w:color w:val="1a1a1a"/>
          <w:spacing w:val="20"/>
          <w:sz w:val="22"/>
        </w:rPr>
        <w:t>PROFESSIONAL EXPERIENCE</w:t>
      </w:r>
    </w:p>
    <w:p>
      <w:pPr>
        <w:spacing w:before="200" w:after="40"/>
      </w:pPr>
      <w:r>
        <w:rPr>
          <w:b/>
          <w:color w:val="1a1a1a"/>
          <w:sz w:val="22"/>
        </w:rPr>
        <w:t>Executive Credit Manager (ECM)</w:t>
      </w:r>
      <w:r>
        <w:rPr>
          <w:color w:val="4a4a4a"/>
          <w:sz w:val="20"/>
        </w:rPr>
        <w:t xml:space="preserve">     January 2026 - Present</w:t>
      </w:r>
    </w:p>
    <w:p>
      <w:pPr>
        <w:spacing w:after="100"/>
      </w:pPr>
      <w:r>
        <w:rPr>
          <w:i/>
          <w:color w:val="6e6e6e"/>
          <w:sz w:val="20"/>
        </w:rPr>
        <w:t>AutoBucks Lenders Limited - Abuja, Nigeria</w:t>
      </w:r>
    </w:p>
    <w:p>
      <w:pPr>
        <w:spacing w:after="60" w:line="264" w:lineRule="auto"/>
        <w:ind w:left="360" w:hanging="180"/>
      </w:pPr>
      <w:r>
        <w:rPr>
          <w:color w:val="4a4a4a"/>
          <w:sz w:val="20"/>
        </w:rPr>
        <w:t xml:space="preserve">•  </w:t>
      </w:r>
      <w:r>
        <w:rPr>
          <w:color w:val="4a4a4a"/>
          <w:sz w:val="20"/>
        </w:rPr>
        <w:t>Evaluate and process loan applications for individuals, SMEs, and corporate clients while ensuring compliance with company credit policies.</w:t>
      </w:r>
    </w:p>
    <w:p>
      <w:pPr>
        <w:spacing w:after="60" w:line="264" w:lineRule="auto"/>
        <w:ind w:left="360" w:hanging="180"/>
      </w:pPr>
      <w:r>
        <w:rPr>
          <w:color w:val="4a4a4a"/>
          <w:sz w:val="20"/>
        </w:rPr>
        <w:t xml:space="preserve">•  </w:t>
      </w:r>
      <w:r>
        <w:rPr>
          <w:color w:val="4a4a4a"/>
          <w:sz w:val="20"/>
        </w:rPr>
        <w:t>Conduct detailed credit analysis, financial assessments, and risk evaluations to determine borrowers' repayment capacity.</w:t>
      </w:r>
    </w:p>
    <w:p>
      <w:pPr>
        <w:spacing w:after="60" w:line="264" w:lineRule="auto"/>
        <w:ind w:left="360" w:hanging="180"/>
      </w:pPr>
      <w:r>
        <w:rPr>
          <w:color w:val="4a4a4a"/>
          <w:sz w:val="20"/>
        </w:rPr>
        <w:t xml:space="preserve">•  </w:t>
      </w:r>
      <w:r>
        <w:rPr>
          <w:color w:val="4a4a4a"/>
          <w:sz w:val="20"/>
        </w:rPr>
        <w:t>Source and manage new business opportunities through relationship management, referrals, and direct marketing.</w:t>
      </w:r>
    </w:p>
    <w:p>
      <w:pPr>
        <w:spacing w:after="60" w:line="264" w:lineRule="auto"/>
        <w:ind w:left="360" w:hanging="180"/>
      </w:pPr>
      <w:r>
        <w:rPr>
          <w:color w:val="4a4a4a"/>
          <w:sz w:val="20"/>
        </w:rPr>
        <w:t xml:space="preserve">•  </w:t>
      </w:r>
      <w:r>
        <w:rPr>
          <w:color w:val="4a4a4a"/>
          <w:sz w:val="20"/>
        </w:rPr>
        <w:t>Prepare comprehensive credit proposals and present recommendations for loan approval.</w:t>
      </w:r>
    </w:p>
    <w:p>
      <w:pPr>
        <w:spacing w:after="60" w:line="264" w:lineRule="auto"/>
        <w:ind w:left="360" w:hanging="180"/>
      </w:pPr>
      <w:r>
        <w:rPr>
          <w:color w:val="4a4a4a"/>
          <w:sz w:val="20"/>
        </w:rPr>
        <w:t xml:space="preserve">•  </w:t>
      </w:r>
      <w:r>
        <w:rPr>
          <w:color w:val="4a4a4a"/>
          <w:sz w:val="20"/>
        </w:rPr>
        <w:t>Monitor loan portfolios to ensure timely repayments and proactively manage delinquent accounts.</w:t>
      </w:r>
    </w:p>
    <w:p>
      <w:pPr>
        <w:spacing w:after="60" w:line="264" w:lineRule="auto"/>
        <w:ind w:left="360" w:hanging="180"/>
      </w:pPr>
      <w:r>
        <w:rPr>
          <w:color w:val="4a4a4a"/>
          <w:sz w:val="20"/>
        </w:rPr>
        <w:t xml:space="preserve">•  </w:t>
      </w:r>
      <w:r>
        <w:rPr>
          <w:color w:val="4a4a4a"/>
          <w:sz w:val="20"/>
        </w:rPr>
        <w:t>Build and maintain strong relationships with customers, providing financial solutions tailored to their needs.</w:t>
      </w:r>
    </w:p>
    <w:p>
      <w:pPr>
        <w:spacing w:after="60" w:line="264" w:lineRule="auto"/>
        <w:ind w:left="360" w:hanging="180"/>
      </w:pPr>
      <w:r>
        <w:rPr>
          <w:color w:val="4a4a4a"/>
          <w:sz w:val="20"/>
        </w:rPr>
        <w:t xml:space="preserve">•  </w:t>
      </w:r>
      <w:r>
        <w:rPr>
          <w:color w:val="4a4a4a"/>
          <w:sz w:val="20"/>
        </w:rPr>
        <w:t>Collaborate with legal, operations, and recovery teams to ensure proper loan documentation and effective debt recovery.</w:t>
      </w:r>
    </w:p>
    <w:p>
      <w:pPr>
        <w:spacing w:after="60" w:line="264" w:lineRule="auto"/>
        <w:ind w:left="360" w:hanging="180"/>
      </w:pPr>
      <w:r>
        <w:rPr>
          <w:color w:val="4a4a4a"/>
          <w:sz w:val="20"/>
        </w:rPr>
        <w:t xml:space="preserve">•  </w:t>
      </w:r>
      <w:r>
        <w:rPr>
          <w:color w:val="4a4a4a"/>
          <w:sz w:val="20"/>
        </w:rPr>
        <w:t>Maintain accurate customer records and prepare periodic reports on loan performance and portfolio quality.</w:t>
      </w:r>
    </w:p>
    <w:p>
      <w:pPr>
        <w:spacing w:after="60" w:line="264" w:lineRule="auto"/>
        <w:ind w:left="360" w:hanging="180"/>
      </w:pPr>
      <w:r>
        <w:rPr>
          <w:color w:val="4a4a4a"/>
          <w:sz w:val="20"/>
        </w:rPr>
        <w:t xml:space="preserve">•  </w:t>
      </w:r>
      <w:r>
        <w:rPr>
          <w:color w:val="4a4a4a"/>
          <w:sz w:val="20"/>
        </w:rPr>
        <w:t>Ensure adherence to regulatory requirements, internal policies, and risk management standards.</w:t>
      </w:r>
    </w:p>
    <w:p>
      <w:pPr>
        <w:spacing w:after="60" w:line="264" w:lineRule="auto"/>
        <w:ind w:left="360" w:hanging="180"/>
      </w:pPr>
      <w:r>
        <w:rPr>
          <w:color w:val="4a4a4a"/>
          <w:sz w:val="20"/>
        </w:rPr>
        <w:t xml:space="preserve">•  </w:t>
      </w:r>
      <w:r>
        <w:rPr>
          <w:color w:val="4a4a4a"/>
          <w:sz w:val="20"/>
        </w:rPr>
        <w:t>Support business growth by identifying cross-selling opportunities and expanding the company's customer base.</w:t>
      </w:r>
    </w:p>
    <w:p>
      <w:pPr>
        <w:spacing w:after="60"/>
      </w:pPr>
    </w:p>
    <w:p>
      <w:pPr>
        <w:spacing w:before="200" w:after="40"/>
      </w:pPr>
      <w:r>
        <w:rPr>
          <w:b/>
          <w:color w:val="1a1a1a"/>
          <w:sz w:val="22"/>
        </w:rPr>
        <w:t>Business Development Manager</w:t>
      </w:r>
      <w:r>
        <w:rPr>
          <w:color w:val="4a4a4a"/>
          <w:sz w:val="20"/>
        </w:rPr>
        <w:t xml:space="preserve">     2024 - 2025</w:t>
      </w:r>
    </w:p>
    <w:p>
      <w:pPr>
        <w:spacing w:after="100"/>
      </w:pPr>
      <w:r>
        <w:rPr>
          <w:i/>
          <w:color w:val="6e6e6e"/>
          <w:sz w:val="20"/>
        </w:rPr>
        <w:t>Coronation Asset Management</w:t>
      </w:r>
    </w:p>
    <w:p>
      <w:pPr>
        <w:spacing w:after="60" w:line="264" w:lineRule="auto"/>
        <w:ind w:left="360" w:hanging="180"/>
      </w:pPr>
      <w:r>
        <w:rPr>
          <w:color w:val="4a4a4a"/>
          <w:sz w:val="20"/>
        </w:rPr>
        <w:t xml:space="preserve">•  </w:t>
      </w:r>
      <w:r>
        <w:rPr>
          <w:color w:val="4a4a4a"/>
          <w:sz w:val="20"/>
        </w:rPr>
        <w:t>Lead strategic client acquisition initiatives, expanding market presence and driving substantial portfolio growth across individual and corporate segments.</w:t>
      </w:r>
    </w:p>
    <w:p>
      <w:pPr>
        <w:spacing w:after="60" w:line="264" w:lineRule="auto"/>
        <w:ind w:left="360" w:hanging="180"/>
      </w:pPr>
      <w:r>
        <w:rPr>
          <w:color w:val="4a4a4a"/>
          <w:sz w:val="20"/>
        </w:rPr>
        <w:t xml:space="preserve">•  </w:t>
      </w:r>
      <w:r>
        <w:rPr>
          <w:color w:val="4a4a4a"/>
          <w:sz w:val="20"/>
        </w:rPr>
        <w:t>Develop and execute comprehensive business development strategies, resulting in significant customer base expansion and revenue increase.</w:t>
      </w:r>
    </w:p>
    <w:p>
      <w:pPr>
        <w:spacing w:after="60" w:line="264" w:lineRule="auto"/>
        <w:ind w:left="360" w:hanging="180"/>
      </w:pPr>
      <w:r>
        <w:rPr>
          <w:color w:val="4a4a4a"/>
          <w:sz w:val="20"/>
        </w:rPr>
        <w:t xml:space="preserve">•  </w:t>
      </w:r>
      <w:r>
        <w:rPr>
          <w:color w:val="4a4a4a"/>
          <w:sz w:val="20"/>
        </w:rPr>
        <w:t>Cultivate and maintain executive-level relationships with key stakeholders, ensuring long-term partnerships and client retention.</w:t>
      </w:r>
    </w:p>
    <w:p>
      <w:pPr>
        <w:spacing w:after="60" w:line="264" w:lineRule="auto"/>
        <w:ind w:left="360" w:hanging="180"/>
      </w:pPr>
      <w:r>
        <w:rPr>
          <w:color w:val="4a4a4a"/>
          <w:sz w:val="20"/>
        </w:rPr>
        <w:t xml:space="preserve">•  </w:t>
      </w:r>
      <w:r>
        <w:rPr>
          <w:color w:val="4a4a4a"/>
          <w:sz w:val="20"/>
        </w:rPr>
        <w:t>Conduct in-depth market analysis to identify growth opportunities and recommend tailored investment solutions to C-suite clients.</w:t>
      </w:r>
    </w:p>
    <w:p>
      <w:pPr>
        <w:spacing w:after="60"/>
      </w:pPr>
    </w:p>
    <w:p>
      <w:pPr>
        <w:spacing w:before="200" w:after="40"/>
      </w:pPr>
      <w:r>
        <w:rPr>
          <w:b/>
          <w:color w:val="1a1a1a"/>
          <w:sz w:val="22"/>
        </w:rPr>
        <w:t>Senior Sales Executive</w:t>
      </w:r>
      <w:r>
        <w:rPr>
          <w:color w:val="4a4a4a"/>
          <w:sz w:val="20"/>
        </w:rPr>
        <w:t xml:space="preserve">     2023 - 2025</w:t>
      </w:r>
    </w:p>
    <w:p>
      <w:pPr>
        <w:spacing w:after="100"/>
      </w:pPr>
      <w:r>
        <w:rPr>
          <w:i/>
          <w:color w:val="6e6e6e"/>
          <w:sz w:val="20"/>
        </w:rPr>
        <w:t>Pal-Mezex Group Ltd</w:t>
      </w:r>
    </w:p>
    <w:p>
      <w:pPr>
        <w:spacing w:after="60" w:line="264" w:lineRule="auto"/>
        <w:ind w:left="360" w:hanging="180"/>
      </w:pPr>
      <w:r>
        <w:rPr>
          <w:color w:val="4a4a4a"/>
          <w:sz w:val="20"/>
        </w:rPr>
        <w:t xml:space="preserve">•  </w:t>
      </w:r>
      <w:r>
        <w:rPr>
          <w:color w:val="4a4a4a"/>
          <w:sz w:val="20"/>
        </w:rPr>
        <w:t>Directed B2B sales operations targeting government institutions and healthcare organizations, achieving consistent revenue targets.</w:t>
      </w:r>
    </w:p>
    <w:p>
      <w:pPr>
        <w:spacing w:after="60" w:line="264" w:lineRule="auto"/>
        <w:ind w:left="360" w:hanging="180"/>
      </w:pPr>
      <w:r>
        <w:rPr>
          <w:color w:val="4a4a4a"/>
          <w:sz w:val="20"/>
        </w:rPr>
        <w:t xml:space="preserve">•  </w:t>
      </w:r>
      <w:r>
        <w:rPr>
          <w:color w:val="4a4a4a"/>
          <w:sz w:val="20"/>
        </w:rPr>
        <w:t>Managed end-to-end contract lifecycle including negotiation, documentation, and delivery coordination for high-value equipment procurement.</w:t>
      </w:r>
    </w:p>
    <w:p>
      <w:pPr>
        <w:spacing w:after="60" w:line="264" w:lineRule="auto"/>
        <w:ind w:left="360" w:hanging="180"/>
      </w:pPr>
      <w:r>
        <w:rPr>
          <w:color w:val="4a4a4a"/>
          <w:sz w:val="20"/>
        </w:rPr>
        <w:t xml:space="preserve">•  </w:t>
      </w:r>
      <w:r>
        <w:rPr>
          <w:color w:val="4a4a4a"/>
          <w:sz w:val="20"/>
        </w:rPr>
        <w:t>Built and sustained strategic partnerships with institutional clients, ensuring contract renewals and repeat business.</w:t>
      </w:r>
    </w:p>
    <w:p>
      <w:pPr>
        <w:spacing w:after="60" w:line="264" w:lineRule="auto"/>
        <w:ind w:left="360" w:hanging="180"/>
      </w:pPr>
      <w:r>
        <w:rPr>
          <w:color w:val="4a4a4a"/>
          <w:sz w:val="20"/>
        </w:rPr>
        <w:t xml:space="preserve">•  </w:t>
      </w:r>
      <w:r>
        <w:rPr>
          <w:color w:val="4a4a4a"/>
          <w:sz w:val="20"/>
        </w:rPr>
        <w:t>Oversaw logistics and supply chain coordination, ensuring timely execution of complex multi-stakeholder projects.</w:t>
      </w:r>
    </w:p>
    <w:p>
      <w:pPr>
        <w:spacing w:after="60"/>
      </w:pPr>
    </w:p>
    <w:p>
      <w:pPr>
        <w:spacing w:before="200" w:after="40"/>
      </w:pPr>
      <w:r>
        <w:rPr>
          <w:b/>
          <w:color w:val="1a1a1a"/>
          <w:sz w:val="22"/>
        </w:rPr>
        <w:t>Relationship Manager</w:t>
      </w:r>
      <w:r>
        <w:rPr>
          <w:color w:val="4a4a4a"/>
          <w:sz w:val="20"/>
        </w:rPr>
        <w:t xml:space="preserve">     2022 - 2023</w:t>
      </w:r>
    </w:p>
    <w:p>
      <w:pPr>
        <w:spacing w:after="100"/>
      </w:pPr>
      <w:r>
        <w:rPr>
          <w:i/>
          <w:color w:val="6e6e6e"/>
          <w:sz w:val="20"/>
        </w:rPr>
        <w:t>Fidelity Bank Plc</w:t>
      </w:r>
    </w:p>
    <w:p>
      <w:pPr>
        <w:spacing w:after="60" w:line="264" w:lineRule="auto"/>
        <w:ind w:left="360" w:hanging="180"/>
      </w:pPr>
      <w:r>
        <w:rPr>
          <w:color w:val="4a4a4a"/>
          <w:sz w:val="20"/>
        </w:rPr>
        <w:t xml:space="preserve">•  </w:t>
      </w:r>
      <w:r>
        <w:rPr>
          <w:color w:val="4a4a4a"/>
          <w:sz w:val="20"/>
        </w:rPr>
        <w:t>Drove deposit mobilization and portfolio growth through strategic relationship management and targeted client engagement.</w:t>
      </w:r>
    </w:p>
    <w:p>
      <w:pPr>
        <w:spacing w:after="60" w:line="264" w:lineRule="auto"/>
        <w:ind w:left="360" w:hanging="180"/>
      </w:pPr>
      <w:r>
        <w:rPr>
          <w:color w:val="4a4a4a"/>
          <w:sz w:val="20"/>
        </w:rPr>
        <w:t xml:space="preserve">•  </w:t>
      </w:r>
      <w:r>
        <w:rPr>
          <w:color w:val="4a4a4a"/>
          <w:sz w:val="20"/>
        </w:rPr>
        <w:t>Managed high-value client accounts ensuring compliance with regulatory standards and KYC protocols.</w:t>
      </w:r>
    </w:p>
    <w:p>
      <w:pPr>
        <w:spacing w:after="60" w:line="264" w:lineRule="auto"/>
        <w:ind w:left="360" w:hanging="180"/>
      </w:pPr>
      <w:r>
        <w:rPr>
          <w:color w:val="4a4a4a"/>
          <w:sz w:val="20"/>
        </w:rPr>
        <w:t xml:space="preserve">•  </w:t>
      </w:r>
      <w:r>
        <w:rPr>
          <w:color w:val="4a4a4a"/>
          <w:sz w:val="20"/>
        </w:rPr>
        <w:t>Supported credit and lending operations, contributing to risk assessment and loan portfolio management.</w:t>
      </w:r>
    </w:p>
    <w:p>
      <w:pPr>
        <w:spacing w:after="60" w:line="264" w:lineRule="auto"/>
        <w:ind w:left="360" w:hanging="180"/>
      </w:pPr>
      <w:r>
        <w:rPr>
          <w:color w:val="4a4a4a"/>
          <w:sz w:val="20"/>
        </w:rPr>
        <w:t xml:space="preserve">•  </w:t>
      </w:r>
      <w:r>
        <w:rPr>
          <w:color w:val="4a4a4a"/>
          <w:sz w:val="20"/>
        </w:rPr>
        <w:t>Delivered exceptional client service that enhanced satisfaction scores and strengthened customer loyalty.</w:t>
      </w:r>
    </w:p>
    <w:p>
      <w:pPr>
        <w:spacing w:after="60"/>
      </w:pPr>
    </w:p>
    <w:p>
      <w:pPr>
        <w:pBdr>
          <w:bottom w:val="single" w:color="b0b0b0" w:sz="4" w:space="4"/>
        </w:pBdr>
        <w:spacing w:before="240" w:after="160"/>
      </w:pPr>
      <w:r>
        <w:rPr>
          <w:rFonts w:ascii="Calibri" w:hAnsi="Calibri"/>
          <w:b/>
          <w:color w:val="1a1a1a"/>
          <w:spacing w:val="20"/>
          <w:sz w:val="22"/>
        </w:rPr>
        <w:t>EDUCATION</w:t>
      </w:r>
    </w:p>
    <w:p>
      <w:pPr>
        <w:spacing w:before="80" w:after="40"/>
      </w:pPr>
      <w:r>
        <w:rPr>
          <w:b/>
          <w:color w:val="1a1a1a"/>
          <w:sz w:val="22"/>
        </w:rPr>
        <w:t>Master of Business Administration (MBA)</w:t>
      </w:r>
    </w:p>
    <w:p>
      <w:pPr>
        <w:spacing w:after="80"/>
      </w:pPr>
      <w:r>
        <w:rPr>
          <w:color w:val="4a4a4a"/>
          <w:sz w:val="20"/>
        </w:rPr>
        <w:t>Nexford University - 2024 - 2026</w:t>
      </w:r>
    </w:p>
    <w:p>
      <w:pPr>
        <w:spacing w:before="80" w:after="40"/>
      </w:pPr>
      <w:r>
        <w:rPr>
          <w:b/>
          <w:color w:val="1a1a1a"/>
          <w:sz w:val="22"/>
        </w:rPr>
        <w:t>Bachelor of Science in Biochemistry</w:t>
      </w:r>
    </w:p>
    <w:p>
      <w:pPr>
        <w:spacing w:after="80"/>
      </w:pPr>
      <w:r>
        <w:rPr>
          <w:color w:val="4a4a4a"/>
          <w:sz w:val="20"/>
        </w:rPr>
        <w:t>Usmanu Danfodiyo University, Sokoto - 2018 - 2023</w:t>
      </w:r>
    </w:p>
    <w:p>
      <w:pPr>
        <w:pBdr>
          <w:bottom w:val="single" w:color="b0b0b0" w:sz="4" w:space="4"/>
        </w:pBdr>
        <w:spacing w:before="240" w:after="160"/>
      </w:pPr>
      <w:r>
        <w:rPr>
          <w:rFonts w:ascii="Calibri" w:hAnsi="Calibri"/>
          <w:b/>
          <w:color w:val="1a1a1a"/>
          <w:spacing w:val="20"/>
          <w:sz w:val="22"/>
        </w:rPr>
        <w:t>TECHNICAL SKILLS &amp; TOOLS</w:t>
      </w:r>
    </w:p>
    <w:tbl>
      <w:tblPr>
        <w:tblW w:w="5000" w:type="pct"/>
        <w:tblBorders>
          <w:top w:val="nil"/>
          <w:left w:val="nil"/>
          <w:bottom w:val="nil"/>
          <w:right w:val="nil"/>
          <w:insideH w:val="nil"/>
          <w:insideV w:val="nil"/>
        </w:tblBorders>
      </w:tblPr>
      <w:tblGrid>
        <w:gridCol w:w="2500"/>
        <w:gridCol w:w="2500"/>
        <w:gridCol w:w="2500"/>
        <w:gridCol w:w="2500"/>
      </w:tblGrid>
      <w:tr>
        <w:tc>
          <w:tcPr>
            <w:tcW w:w="2500" w:type="pct"/>
          </w:tcPr>
          <w:p>
            <w:pPr>
              <w:spacing w:after="40"/>
            </w:pPr>
            <w:r>
              <w:rPr>
                <w:color w:val="4a4a4a"/>
                <w:sz w:val="20"/>
              </w:rPr>
              <w:t xml:space="preserve">•  </w:t>
            </w:r>
            <w:r>
              <w:rPr>
                <w:color w:val="4a4a4a"/>
                <w:sz w:val="20"/>
              </w:rPr>
              <w:t>Microsoft Excel (Advanced)</w:t>
            </w:r>
          </w:p>
        </w:tc>
        <w:tc>
          <w:tcPr>
            <w:tcW w:w="2500" w:type="pct"/>
          </w:tcPr>
          <w:p>
            <w:pPr>
              <w:spacing w:after="40"/>
            </w:pPr>
            <w:r>
              <w:rPr>
                <w:color w:val="4a4a4a"/>
                <w:sz w:val="20"/>
              </w:rPr>
              <w:t xml:space="preserve">•  </w:t>
            </w:r>
            <w:r>
              <w:rPr>
                <w:color w:val="4a4a4a"/>
                <w:sz w:val="20"/>
              </w:rPr>
              <w:t>Python (Pandas)</w:t>
            </w:r>
          </w:p>
        </w:tc>
        <w:tc>
          <w:tcPr>
            <w:tcW w:w="2500" w:type="pct"/>
          </w:tcPr>
          <w:p>
            <w:pPr>
              <w:spacing w:after="40"/>
            </w:pPr>
            <w:r>
              <w:rPr>
                <w:color w:val="4a4a4a"/>
                <w:sz w:val="20"/>
              </w:rPr>
              <w:t xml:space="preserve">•  </w:t>
            </w:r>
            <w:r>
              <w:rPr>
                <w:color w:val="4a4a4a"/>
                <w:sz w:val="20"/>
              </w:rPr>
              <w:t>Data Analytics</w:t>
            </w:r>
          </w:p>
        </w:tc>
        <w:tc>
          <w:tcPr>
            <w:tcW w:w="2500" w:type="pct"/>
          </w:tcPr>
          <w:p>
            <w:pPr>
              <w:spacing w:after="40"/>
            </w:pPr>
            <w:r>
              <w:rPr>
                <w:color w:val="4a4a4a"/>
                <w:sz w:val="20"/>
              </w:rPr>
              <w:t xml:space="preserve">•  </w:t>
            </w:r>
            <w:r>
              <w:rPr>
                <w:color w:val="4a4a4a"/>
                <w:sz w:val="20"/>
              </w:rPr>
              <w:t>CRM Systems</w:t>
            </w:r>
          </w:p>
        </w:tc>
      </w:tr>
      <w:tr>
        <w:tc>
          <w:tcPr>
            <w:tcW w:w="2500" w:type="pct"/>
          </w:tcPr>
          <w:p>
            <w:pPr>
              <w:spacing w:after="40"/>
            </w:pPr>
            <w:r>
              <w:rPr>
                <w:color w:val="4a4a4a"/>
                <w:sz w:val="20"/>
              </w:rPr>
              <w:t xml:space="preserve">•  </w:t>
            </w:r>
            <w:r>
              <w:rPr>
                <w:color w:val="4a4a4a"/>
                <w:sz w:val="20"/>
              </w:rPr>
              <w:t>Microsoft Office Suite</w:t>
            </w:r>
          </w:p>
        </w:tc>
        <w:tc>
          <w:tcPr>
            <w:tcW w:w="2500" w:type="pct"/>
          </w:tcPr>
          <w:p>
            <w:pPr>
              <w:spacing w:after="40"/>
            </w:pPr>
            <w:r>
              <w:rPr>
                <w:color w:val="4a4a4a"/>
                <w:sz w:val="20"/>
              </w:rPr>
              <w:t xml:space="preserve">•  </w:t>
            </w:r>
            <w:r>
              <w:rPr>
                <w:color w:val="4a4a4a"/>
                <w:sz w:val="20"/>
              </w:rPr>
              <w:t>PowerPoint</w:t>
            </w:r>
          </w:p>
        </w:tc>
        <w:tc>
          <w:tcPr>
            <w:tcW w:w="2500" w:type="pct"/>
          </w:tcPr>
          <w:p>
            <w:pPr>
              <w:spacing w:after="40"/>
            </w:pPr>
            <w:r>
              <w:rPr>
                <w:color w:val="4a4a4a"/>
                <w:sz w:val="20"/>
              </w:rPr>
              <w:t xml:space="preserve">•  </w:t>
            </w:r>
            <w:r>
              <w:rPr>
                <w:color w:val="4a4a4a"/>
                <w:sz w:val="20"/>
              </w:rPr>
              <w:t>Digital Strategy</w:t>
            </w:r>
          </w:p>
        </w:tc>
        <w:tc>
          <w:tcPr>
            <w:tcW w:w="2500" w:type="pct"/>
          </w:tcPr>
          <w:p>
            <w:pPr>
              <w:spacing w:after="40"/>
            </w:pPr>
            <w:r>
              <w:rPr>
                <w:color w:val="4a4a4a"/>
                <w:sz w:val="20"/>
              </w:rPr>
              <w:t xml:space="preserve">•  </w:t>
            </w:r>
            <w:r>
              <w:rPr>
                <w:color w:val="4a4a4a"/>
                <w:sz w:val="20"/>
              </w:rPr>
              <w:t>Business Intelligence</w:t>
            </w:r>
          </w:p>
        </w:tc>
      </w:tr>
    </w:tbl>
    <w:p>
      <w:pPr>
        <w:spacing w:after="120"/>
      </w:pPr>
    </w:p>
    <w:p>
      <w:pPr>
        <w:pBdr>
          <w:bottom w:val="single" w:color="b0b0b0" w:sz="4" w:space="4"/>
        </w:pBdr>
        <w:spacing w:before="240" w:after="160"/>
      </w:pPr>
      <w:r>
        <w:rPr>
          <w:rFonts w:ascii="Calibri" w:hAnsi="Calibri"/>
          <w:b/>
          <w:color w:val="1a1a1a"/>
          <w:spacing w:val="20"/>
          <w:sz w:val="22"/>
        </w:rPr>
        <w:t>ADDITIONAL INFORMATION</w:t>
      </w:r>
    </w:p>
    <w:p>
      <w:pPr>
        <w:spacing w:after="360" w:line="276" w:lineRule="auto"/>
        <w:jc w:val="both"/>
      </w:pPr>
      <w:r>
        <w:rPr>
          <w:color w:val="4a4a4a"/>
          <w:sz w:val="20"/>
        </w:rPr>
        <w:t>Strategic thinker with exceptional analytical capabilities and a proven ability to translate data into actionable business insights. Committed to excellence, integrity, and continuous professional development. Strong communicator with demonstrated ability to influence stakeholders at all organizational levels. Passionate about driving organizational success through innovative solutions and collaborative leadership.</w:t>
      </w:r>
    </w:p>
    <w:sectPr>
      <w:pgSz w:w="11906" w:h="16838"/>
      <w:pgMar w:top="720" w:right="1080" w:bottom="720" w:left="1080" w:header="0" w:footer="0"/>
    </w:sectPr>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Normal" w:default="true">
    <w:name w:val="Normal"/>
    <w:pPr>
      <w:spacing w:after="120" w:line="276" w:lineRule="auto"/>
    </w:pPr>
    <w:rPr>
      <w:rFonts w:ascii="Calibri" w:hAnsi="Calibri"/>
      <w:color w:val="1a1a1a"/>
      <w:sz w:val="22"/>
    </w:rPr>
  </w:style>
</w:styles>
</file>

<file path=word/_rels/document.xml.rels><?xml version='1.0' encoding='UTF-8'?>
<Relationships xmlns="http://schemas.openxmlformats.org/package/2006/relationships"><Relationship Type="http://schemas.openxmlformats.org/officeDocument/2006/relationships/styles" Target="styles.xml" Id="R3545522d2fd64fcb" /><Relationship Type="http://schemas.openxmlformats.org/officeDocument/2006/relationships/settings" Target="settings.xml" Id="Re1e3d08be8dd484a" /></Relationships>
</file>