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F3864"/>
          <w:sz w:val="32"/>
          <w:szCs w:val="32"/>
        </w:rPr>
        <w:t xml:space="preserve">OLOKO BOLUWATIFE ZAINAB</w:t>
      </w:r>
    </w:p>
    <w:p>
      <w:pPr>
        <w:spacing w:after="100"/>
        <w:jc w:val="center"/>
      </w:pPr>
      <w:r>
        <w:rPr>
          <w:rFonts w:ascii="Arial" w:cs="Arial" w:eastAsia="Arial" w:hAnsi="Arial"/>
          <w:color w:val="555555"/>
          <w:sz w:val="20"/>
          <w:szCs w:val="20"/>
        </w:rPr>
        <w:t xml:space="preserve">Lagos State, Nigeria  |  0807-634-0660  |  olokoteephey@gmail.com</w:t>
      </w:r>
    </w:p>
    <w:p>
      <w:pPr>
        <w:pBdr>
          <w:bottom w:val="single" w:color="1F3864" w:sz="6" w:space="2"/>
        </w:pBdr>
        <w:spacing w:after="100" w:before="280"/>
      </w:pPr>
      <w:r>
        <w:rPr>
          <w:rFonts w:ascii="Arial" w:cs="Arial" w:eastAsia="Arial" w:hAnsi="Arial"/>
          <w:b/>
          <w:bCs/>
          <w:color w:val="1F3864"/>
          <w:sz w:val="22"/>
          <w:szCs w:val="22"/>
        </w:rPr>
        <w:t xml:space="preserve">PROFESSIONAL SUMMARY</w:t>
      </w:r>
    </w:p>
    <w:p>
      <w:pPr>
        <w:spacing w:after="60"/>
      </w:pPr>
      <w:r>
        <w:rPr>
          <w:rFonts w:ascii="Arial" w:cs="Arial" w:eastAsia="Arial" w:hAnsi="Arial"/>
          <w:i w:val="false"/>
          <w:iCs w:val="false"/>
          <w:sz w:val="20"/>
          <w:szCs w:val="20"/>
        </w:rPr>
        <w:t xml:space="preserve">Law graduate (LL.B, Second Class Upper) with hands-on experience in litigation support, dispute resolution, contract drafting and negotiation, and regulatory compliance across commercial law firms in Lagos. Skilled in legal research, pleadings and brief preparation, due diligence, and case strategy, with litigation support experience at the National Industrial Court and legal opinions delivered for corporate clients on compliance and risk matters. Seeking a Legal Associate, Junior Counsel, or Compliance Officer role to apply litigation, drafting, and regulatory compliance expertise in a fast-paced legal or in-house environment.</w:t>
      </w:r>
    </w:p>
    <w:p>
      <w:pPr>
        <w:pBdr>
          <w:bottom w:val="single" w:color="1F3864" w:sz="6" w:space="2"/>
        </w:pBdr>
        <w:spacing w:after="100" w:before="280"/>
      </w:pPr>
      <w:r>
        <w:rPr>
          <w:rFonts w:ascii="Arial" w:cs="Arial" w:eastAsia="Arial" w:hAnsi="Arial"/>
          <w:b/>
          <w:bCs/>
          <w:color w:val="1F3864"/>
          <w:sz w:val="22"/>
          <w:szCs w:val="22"/>
        </w:rPr>
        <w:t xml:space="preserve">CORE COMPETENCIES</w:t>
      </w:r>
    </w:p>
    <w:p>
      <w:pPr>
        <w:spacing w:after="60"/>
      </w:pPr>
      <w:r>
        <w:rPr>
          <w:rFonts w:ascii="Arial" w:cs="Arial" w:eastAsia="Arial" w:hAnsi="Arial"/>
          <w:i w:val="false"/>
          <w:iCs w:val="false"/>
          <w:sz w:val="20"/>
          <w:szCs w:val="20"/>
        </w:rPr>
        <w:t xml:space="preserve">Litigation Support &amp; Trial Preparation  ·  Dispute Resolution  ·  Contract Drafting &amp; Negotiation  ·  Regulatory Compliance &amp; Risk Assessment  ·  Due Diligence  ·  Legal Research &amp; Analysis (Statutes, Case Law)  ·  Pleadings &amp; Brief Preparation  ·  Client &amp; Stakeholder Management  ·  Microsoft Office Suite</w:t>
      </w:r>
    </w:p>
    <w:p>
      <w:pPr>
        <w:pBdr>
          <w:bottom w:val="single" w:color="1F3864" w:sz="6" w:space="2"/>
        </w:pBdr>
        <w:spacing w:after="100" w:before="280"/>
      </w:pPr>
      <w:r>
        <w:rPr>
          <w:rFonts w:ascii="Arial" w:cs="Arial" w:eastAsia="Arial" w:hAnsi="Arial"/>
          <w:b/>
          <w:bCs/>
          <w:color w:val="1F3864"/>
          <w:sz w:val="22"/>
          <w:szCs w:val="22"/>
        </w:rPr>
        <w:t xml:space="preserve">LEGAL EXPERIENCE</w:t>
      </w:r>
    </w:p>
    <w:p>
      <w:pPr>
        <w:tabs>
          <w:tab w:val="right" w:pos="9026"/>
        </w:tabs>
        <w:spacing w:after="20" w:before="160"/>
      </w:pPr>
      <w:r>
        <w:rPr>
          <w:rFonts w:ascii="Arial" w:cs="Arial" w:eastAsia="Arial" w:hAnsi="Arial"/>
          <w:b/>
          <w:bCs/>
          <w:sz w:val="21"/>
          <w:szCs w:val="21"/>
        </w:rPr>
        <w:t xml:space="preserve">Legal Associate | Union Attorneys (incorporating Kuti Legal)</w:t>
      </w:r>
      <w:r>
        <w:rPr>
          <w:rFonts w:ascii="Arial" w:cs="Arial" w:eastAsia="Arial" w:hAnsi="Arial"/>
          <w:i/>
          <w:iCs/>
          <w:color w:val="555555"/>
          <w:sz w:val="20"/>
          <w:szCs w:val="20"/>
        </w:rPr>
        <w:t xml:space="preserve">	2026 – Present</w:t>
      </w:r>
    </w:p>
    <w:p>
      <w:pPr>
        <w:pStyle w:val="ListParagraph"/>
        <w:numPr>
          <w:ilvl w:val="0"/>
          <w:numId w:val="2"/>
        </w:numPr>
        <w:spacing w:after="60"/>
      </w:pPr>
      <w:r>
        <w:rPr>
          <w:rFonts w:ascii="Arial" w:cs="Arial" w:eastAsia="Arial" w:hAnsi="Arial"/>
          <w:sz w:val="20"/>
          <w:szCs w:val="20"/>
        </w:rPr>
        <w:t xml:space="preserve">Spearheaded litigation support on a National Industrial Court matter for Lotus Bank, compiling a cross-examination brief from evidentiary records across multiple hearings.</w:t>
      </w:r>
    </w:p>
    <w:p>
      <w:pPr>
        <w:pStyle w:val="ListParagraph"/>
        <w:numPr>
          <w:ilvl w:val="0"/>
          <w:numId w:val="2"/>
        </w:numPr>
        <w:spacing w:after="60"/>
      </w:pPr>
      <w:r>
        <w:rPr>
          <w:rFonts w:ascii="Arial" w:cs="Arial" w:eastAsia="Arial" w:hAnsi="Arial"/>
          <w:sz w:val="20"/>
          <w:szCs w:val="20"/>
        </w:rPr>
        <w:t xml:space="preserve">Drafted a Reply to Defence to Counter-Claim in a contested POS terminal dispute, resolving procedural gaps in the original pleadings.</w:t>
      </w:r>
    </w:p>
    <w:p>
      <w:pPr>
        <w:pStyle w:val="ListParagraph"/>
        <w:numPr>
          <w:ilvl w:val="0"/>
          <w:numId w:val="2"/>
        </w:numPr>
        <w:spacing w:after="60"/>
      </w:pPr>
      <w:r>
        <w:rPr>
          <w:rFonts w:ascii="Arial" w:cs="Arial" w:eastAsia="Arial" w:hAnsi="Arial"/>
          <w:sz w:val="20"/>
          <w:szCs w:val="20"/>
        </w:rPr>
        <w:t xml:space="preserve">Delivered a legal opinion for MTN Nigeria assessing liability exposure in a SIM-related fraud claim within a 7-day deadline.</w:t>
      </w:r>
    </w:p>
    <w:p>
      <w:pPr>
        <w:pStyle w:val="ListParagraph"/>
        <w:numPr>
          <w:ilvl w:val="0"/>
          <w:numId w:val="2"/>
        </w:numPr>
        <w:spacing w:after="60"/>
      </w:pPr>
      <w:r>
        <w:rPr>
          <w:rFonts w:ascii="Arial" w:cs="Arial" w:eastAsia="Arial" w:hAnsi="Arial"/>
          <w:sz w:val="20"/>
          <w:szCs w:val="20"/>
        </w:rPr>
        <w:t xml:space="preserve">Co-authored speech and conference materials for Folabi Kuti SAN's address at the NUPENG 6th Quadrennial National Delegates Conference, presented to an audience of 70+ attendees.</w:t>
      </w:r>
    </w:p>
    <w:p>
      <w:pPr>
        <w:tabs>
          <w:tab w:val="right" w:pos="9026"/>
        </w:tabs>
        <w:spacing w:after="20" w:before="160"/>
      </w:pPr>
      <w:r>
        <w:rPr>
          <w:rFonts w:ascii="Arial" w:cs="Arial" w:eastAsia="Arial" w:hAnsi="Arial"/>
          <w:b/>
          <w:bCs/>
          <w:sz w:val="21"/>
          <w:szCs w:val="21"/>
        </w:rPr>
        <w:t xml:space="preserve">Legal Intern | Matthew Burkka &amp; Co.</w:t>
      </w:r>
      <w:r>
        <w:rPr>
          <w:rFonts w:ascii="Arial" w:cs="Arial" w:eastAsia="Arial" w:hAnsi="Arial"/>
          <w:i/>
          <w:iCs/>
          <w:color w:val="555555"/>
          <w:sz w:val="20"/>
          <w:szCs w:val="20"/>
        </w:rPr>
        <w:t xml:space="preserve">	2025</w:t>
      </w:r>
    </w:p>
    <w:p>
      <w:pPr>
        <w:pStyle w:val="ListParagraph"/>
        <w:numPr>
          <w:ilvl w:val="0"/>
          <w:numId w:val="2"/>
        </w:numPr>
        <w:spacing w:after="60"/>
      </w:pPr>
      <w:r>
        <w:rPr>
          <w:rFonts w:ascii="Arial" w:cs="Arial" w:eastAsia="Arial" w:hAnsi="Arial"/>
          <w:sz w:val="20"/>
          <w:szCs w:val="20"/>
        </w:rPr>
        <w:t xml:space="preserve">Researched and synthesized Nigerian statutes and case law across 15+ active matters, briefing senior counsel on findings.</w:t>
      </w:r>
    </w:p>
    <w:p>
      <w:pPr>
        <w:pStyle w:val="ListParagraph"/>
        <w:numPr>
          <w:ilvl w:val="0"/>
          <w:numId w:val="2"/>
        </w:numPr>
        <w:spacing w:after="60"/>
      </w:pPr>
      <w:r>
        <w:rPr>
          <w:rFonts w:ascii="Arial" w:cs="Arial" w:eastAsia="Arial" w:hAnsi="Arial"/>
          <w:sz w:val="20"/>
          <w:szCs w:val="20"/>
        </w:rPr>
        <w:t xml:space="preserve">Drafted 20+ motions, affidavits, and written addresses in full compliance with court procedural rules.</w:t>
      </w:r>
    </w:p>
    <w:p>
      <w:pPr>
        <w:pStyle w:val="ListParagraph"/>
        <w:numPr>
          <w:ilvl w:val="0"/>
          <w:numId w:val="2"/>
        </w:numPr>
        <w:spacing w:after="60"/>
      </w:pPr>
      <w:r>
        <w:rPr>
          <w:rFonts w:ascii="Arial" w:cs="Arial" w:eastAsia="Arial" w:hAnsi="Arial"/>
          <w:sz w:val="20"/>
          <w:szCs w:val="20"/>
        </w:rPr>
        <w:t xml:space="preserve">Organized and maintained trial calendars for 8+ concurrent litigation files, reducing scheduling conflicts.</w:t>
      </w:r>
    </w:p>
    <w:p>
      <w:pPr>
        <w:tabs>
          <w:tab w:val="right" w:pos="9026"/>
        </w:tabs>
        <w:spacing w:after="20" w:before="160"/>
      </w:pPr>
      <w:r>
        <w:rPr>
          <w:rFonts w:ascii="Arial" w:cs="Arial" w:eastAsia="Arial" w:hAnsi="Arial"/>
          <w:b/>
          <w:bCs/>
          <w:sz w:val="21"/>
          <w:szCs w:val="21"/>
        </w:rPr>
        <w:t xml:space="preserve">Legal Intern | Union Attorneys (incorporating Kuti Legal)</w:t>
      </w:r>
      <w:r>
        <w:rPr>
          <w:rFonts w:ascii="Arial" w:cs="Arial" w:eastAsia="Arial" w:hAnsi="Arial"/>
          <w:i/>
          <w:iCs/>
          <w:color w:val="555555"/>
          <w:sz w:val="20"/>
          <w:szCs w:val="20"/>
        </w:rPr>
        <w:t xml:space="preserve">	2024 – 2025</w:t>
      </w:r>
    </w:p>
    <w:p>
      <w:pPr>
        <w:pStyle w:val="ListParagraph"/>
        <w:numPr>
          <w:ilvl w:val="0"/>
          <w:numId w:val="2"/>
        </w:numPr>
        <w:spacing w:after="60"/>
      </w:pPr>
      <w:r>
        <w:rPr>
          <w:rFonts w:ascii="Arial" w:cs="Arial" w:eastAsia="Arial" w:hAnsi="Arial"/>
          <w:sz w:val="20"/>
          <w:szCs w:val="20"/>
        </w:rPr>
        <w:t xml:space="preserve">Conducted legal research supporting ongoing matters across employment law, family law, and corporate law.</w:t>
      </w:r>
    </w:p>
    <w:p>
      <w:pPr>
        <w:pStyle w:val="ListParagraph"/>
        <w:numPr>
          <w:ilvl w:val="0"/>
          <w:numId w:val="2"/>
        </w:numPr>
        <w:spacing w:after="60"/>
      </w:pPr>
      <w:r>
        <w:rPr>
          <w:rFonts w:ascii="Arial" w:cs="Arial" w:eastAsia="Arial" w:hAnsi="Arial"/>
          <w:sz w:val="20"/>
          <w:szCs w:val="20"/>
        </w:rPr>
        <w:t xml:space="preserve">Managed client correspondence and confidential file systems for 50+ active clients with zero confidentiality breaches.</w:t>
      </w:r>
    </w:p>
    <w:p>
      <w:pPr>
        <w:pStyle w:val="ListParagraph"/>
        <w:numPr>
          <w:ilvl w:val="0"/>
          <w:numId w:val="2"/>
        </w:numPr>
        <w:spacing w:after="60"/>
      </w:pPr>
      <w:r>
        <w:rPr>
          <w:rFonts w:ascii="Arial" w:cs="Arial" w:eastAsia="Arial" w:hAnsi="Arial"/>
          <w:sz w:val="20"/>
          <w:szCs w:val="20"/>
        </w:rPr>
        <w:t xml:space="preserve">Streamlined case preparation and document review processes for practicing counsel.</w:t>
      </w:r>
    </w:p>
    <w:p>
      <w:pPr>
        <w:tabs>
          <w:tab w:val="right" w:pos="9026"/>
        </w:tabs>
        <w:spacing w:after="20" w:before="160"/>
      </w:pPr>
      <w:r>
        <w:rPr>
          <w:rFonts w:ascii="Arial" w:cs="Arial" w:eastAsia="Arial" w:hAnsi="Arial"/>
          <w:b/>
          <w:bCs/>
          <w:sz w:val="21"/>
          <w:szCs w:val="21"/>
        </w:rPr>
        <w:t xml:space="preserve">Legal Intern | Tunde Ologunde &amp; Co.</w:t>
      </w:r>
      <w:r>
        <w:rPr>
          <w:rFonts w:ascii="Arial" w:cs="Arial" w:eastAsia="Arial" w:hAnsi="Arial"/>
          <w:i/>
          <w:iCs/>
          <w:color w:val="555555"/>
          <w:sz w:val="20"/>
          <w:szCs w:val="20"/>
        </w:rPr>
        <w:t xml:space="preserve">	2021 – 2022</w:t>
      </w:r>
    </w:p>
    <w:p>
      <w:pPr>
        <w:pStyle w:val="ListParagraph"/>
        <w:numPr>
          <w:ilvl w:val="0"/>
          <w:numId w:val="2"/>
        </w:numPr>
        <w:spacing w:after="60"/>
      </w:pPr>
      <w:r>
        <w:rPr>
          <w:rFonts w:ascii="Arial" w:cs="Arial" w:eastAsia="Arial" w:hAnsi="Arial"/>
          <w:sz w:val="20"/>
          <w:szCs w:val="20"/>
        </w:rPr>
        <w:t xml:space="preserve">Drafted and reviewed 15+ affidavits and supporting legal documents under tight filing deadlines.</w:t>
      </w:r>
    </w:p>
    <w:p>
      <w:pPr>
        <w:pStyle w:val="ListParagraph"/>
        <w:numPr>
          <w:ilvl w:val="0"/>
          <w:numId w:val="2"/>
        </w:numPr>
        <w:spacing w:after="60"/>
      </w:pPr>
      <w:r>
        <w:rPr>
          <w:rFonts w:ascii="Arial" w:cs="Arial" w:eastAsia="Arial" w:hAnsi="Arial"/>
          <w:sz w:val="20"/>
          <w:szCs w:val="20"/>
        </w:rPr>
        <w:t xml:space="preserve">Conducted legal research and produced concise summary briefs that accelerated counsel's case preparation.</w:t>
      </w:r>
    </w:p>
    <w:p>
      <w:pPr>
        <w:pBdr>
          <w:bottom w:val="single" w:color="1F3864" w:sz="6" w:space="2"/>
        </w:pBdr>
        <w:spacing w:after="100" w:before="280"/>
      </w:pPr>
      <w:r>
        <w:rPr>
          <w:rFonts w:ascii="Arial" w:cs="Arial" w:eastAsia="Arial" w:hAnsi="Arial"/>
          <w:b/>
          <w:bCs/>
          <w:color w:val="1F3864"/>
          <w:sz w:val="22"/>
          <w:szCs w:val="22"/>
        </w:rPr>
        <w:t xml:space="preserve">FINANCIAL SERVICES EXPERIENCE</w:t>
      </w:r>
    </w:p>
    <w:p>
      <w:pPr>
        <w:tabs>
          <w:tab w:val="right" w:pos="9026"/>
        </w:tabs>
        <w:spacing w:after="20" w:before="160"/>
      </w:pPr>
      <w:r>
        <w:rPr>
          <w:rFonts w:ascii="Arial" w:cs="Arial" w:eastAsia="Arial" w:hAnsi="Arial"/>
          <w:b/>
          <w:bCs/>
          <w:sz w:val="21"/>
          <w:szCs w:val="21"/>
        </w:rPr>
        <w:t xml:space="preserve">Credit Officer | Sagamu Microfinance Bank</w:t>
      </w:r>
      <w:r>
        <w:rPr>
          <w:rFonts w:ascii="Arial" w:cs="Arial" w:eastAsia="Arial" w:hAnsi="Arial"/>
          <w:i/>
          <w:iCs/>
          <w:color w:val="555555"/>
          <w:sz w:val="20"/>
          <w:szCs w:val="20"/>
        </w:rPr>
        <w:t xml:space="preserve">	2018 – 2019</w:t>
      </w:r>
    </w:p>
    <w:p>
      <w:pPr>
        <w:pStyle w:val="ListParagraph"/>
        <w:numPr>
          <w:ilvl w:val="0"/>
          <w:numId w:val="2"/>
        </w:numPr>
        <w:spacing w:after="60"/>
      </w:pPr>
      <w:r>
        <w:rPr>
          <w:rFonts w:ascii="Arial" w:cs="Arial" w:eastAsia="Arial" w:hAnsi="Arial"/>
          <w:sz w:val="20"/>
          <w:szCs w:val="20"/>
        </w:rPr>
        <w:t xml:space="preserve">Evaluated and processed 100+ loan applications, calculating interest rates and repayment schedules in line with internal lending policy.</w:t>
      </w:r>
    </w:p>
    <w:p>
      <w:pPr>
        <w:pStyle w:val="ListParagraph"/>
        <w:numPr>
          <w:ilvl w:val="0"/>
          <w:numId w:val="2"/>
        </w:numPr>
        <w:spacing w:after="60"/>
      </w:pPr>
      <w:r>
        <w:rPr>
          <w:rFonts w:ascii="Arial" w:cs="Arial" w:eastAsia="Arial" w:hAnsi="Arial"/>
          <w:sz w:val="20"/>
          <w:szCs w:val="20"/>
        </w:rPr>
        <w:t xml:space="preserve">Maintained financial and client records across 150+ accounts, supporting audit and regulatory compliance reviews with zero discrepancies flagged.</w:t>
      </w:r>
    </w:p>
    <w:p>
      <w:pPr>
        <w:pBdr>
          <w:bottom w:val="single" w:color="1F3864" w:sz="6" w:space="2"/>
        </w:pBdr>
        <w:spacing w:after="100" w:before="280"/>
      </w:pPr>
      <w:r>
        <w:rPr>
          <w:rFonts w:ascii="Arial" w:cs="Arial" w:eastAsia="Arial" w:hAnsi="Arial"/>
          <w:b/>
          <w:bCs/>
          <w:color w:val="1F3864"/>
          <w:sz w:val="22"/>
          <w:szCs w:val="22"/>
        </w:rPr>
        <w:t xml:space="preserve">EDUCATION</w:t>
      </w:r>
    </w:p>
    <w:p>
      <w:pPr>
        <w:tabs>
          <w:tab w:val="right" w:pos="9026"/>
        </w:tabs>
        <w:spacing w:after="20" w:before="140"/>
      </w:pPr>
      <w:r>
        <w:rPr>
          <w:rFonts w:ascii="Arial" w:cs="Arial" w:eastAsia="Arial" w:hAnsi="Arial"/>
          <w:b/>
          <w:bCs/>
          <w:sz w:val="21"/>
          <w:szCs w:val="21"/>
        </w:rPr>
        <w:t xml:space="preserve">Nigerian Law School — B.L, Second Class Lower</w:t>
      </w:r>
      <w:r>
        <w:rPr>
          <w:rFonts w:ascii="Arial" w:cs="Arial" w:eastAsia="Arial" w:hAnsi="Arial"/>
          <w:i/>
          <w:iCs/>
          <w:color w:val="555555"/>
          <w:sz w:val="20"/>
          <w:szCs w:val="20"/>
        </w:rPr>
        <w:t xml:space="preserve"/>
      </w:r>
    </w:p>
    <w:p>
      <w:pPr>
        <w:tabs>
          <w:tab w:val="right" w:pos="9026"/>
        </w:tabs>
        <w:spacing w:after="20" w:before="140"/>
      </w:pPr>
      <w:r>
        <w:rPr>
          <w:rFonts w:ascii="Arial" w:cs="Arial" w:eastAsia="Arial" w:hAnsi="Arial"/>
          <w:b/>
          <w:bCs/>
          <w:sz w:val="21"/>
          <w:szCs w:val="21"/>
        </w:rPr>
        <w:t xml:space="preserve">Olabisi Onabanjo University — LL.B, Second Class Upper</w:t>
      </w:r>
      <w:r>
        <w:rPr>
          <w:rFonts w:ascii="Arial" w:cs="Arial" w:eastAsia="Arial" w:hAnsi="Arial"/>
          <w:i/>
          <w:iCs/>
          <w:color w:val="555555"/>
          <w:sz w:val="20"/>
          <w:szCs w:val="20"/>
        </w:rPr>
        <w:t xml:space="preserve">	2019 – 2024</w:t>
      </w:r>
    </w:p>
    <w:p>
      <w:pPr>
        <w:spacing w:after="60"/>
      </w:pPr>
      <w:r>
        <w:rPr>
          <w:rFonts w:ascii="Arial" w:cs="Arial" w:eastAsia="Arial" w:hAnsi="Arial"/>
          <w:i/>
          <w:iCs/>
          <w:sz w:val="20"/>
          <w:szCs w:val="20"/>
        </w:rPr>
        <w:t xml:space="preserve">Relevant coursework: Constitutional Law, Property Law, Contract Law, Criminal Law, Torts &amp; Personal Injury Law, Legal Research and Writing</w:t>
      </w:r>
    </w:p>
    <w:p>
      <w:pPr>
        <w:tabs>
          <w:tab w:val="right" w:pos="9026"/>
        </w:tabs>
        <w:spacing w:after="20" w:before="140"/>
      </w:pPr>
      <w:r>
        <w:rPr>
          <w:rFonts w:ascii="Arial" w:cs="Arial" w:eastAsia="Arial" w:hAnsi="Arial"/>
          <w:b/>
          <w:bCs/>
          <w:sz w:val="21"/>
          <w:szCs w:val="21"/>
        </w:rPr>
        <w:t xml:space="preserve">The Polytechnic, Ibadan — National Diploma in Mass Communication, Upper Credit</w:t>
      </w:r>
      <w:r>
        <w:rPr>
          <w:rFonts w:ascii="Arial" w:cs="Arial" w:eastAsia="Arial" w:hAnsi="Arial"/>
          <w:i/>
          <w:iCs/>
          <w:color w:val="555555"/>
          <w:sz w:val="20"/>
          <w:szCs w:val="20"/>
        </w:rPr>
        <w:t xml:space="preserve">	2015 – 2017</w:t>
      </w:r>
    </w:p>
    <w:p>
      <w:pPr>
        <w:pBdr>
          <w:bottom w:val="single" w:color="1F3864" w:sz="6" w:space="2"/>
        </w:pBdr>
        <w:spacing w:after="100" w:before="280"/>
      </w:pPr>
      <w:r>
        <w:rPr>
          <w:rFonts w:ascii="Arial" w:cs="Arial" w:eastAsia="Arial" w:hAnsi="Arial"/>
          <w:b/>
          <w:bCs/>
          <w:color w:val="1F3864"/>
          <w:sz w:val="22"/>
          <w:szCs w:val="22"/>
        </w:rPr>
        <w:t xml:space="preserve">LEADERSHIP &amp; PROFESSIONAL DEVELOPMENT</w:t>
      </w:r>
    </w:p>
    <w:p>
      <w:pPr>
        <w:pStyle w:val="ListParagraph"/>
        <w:numPr>
          <w:ilvl w:val="0"/>
          <w:numId w:val="2"/>
        </w:numPr>
        <w:spacing w:after="60"/>
      </w:pPr>
      <w:r>
        <w:rPr>
          <w:rFonts w:ascii="Arial" w:cs="Arial" w:eastAsia="Arial" w:hAnsi="Arial"/>
          <w:sz w:val="20"/>
          <w:szCs w:val="20"/>
        </w:rPr>
        <w:t xml:space="preserve">Legal Director, NYSC Kwara State — coordinated legal awareness activities for corps members.</w:t>
      </w:r>
    </w:p>
    <w:p>
      <w:pPr>
        <w:pStyle w:val="ListParagraph"/>
        <w:numPr>
          <w:ilvl w:val="0"/>
          <w:numId w:val="2"/>
        </w:numPr>
        <w:spacing w:after="60"/>
      </w:pPr>
      <w:r>
        <w:rPr>
          <w:rFonts w:ascii="Arial" w:cs="Arial" w:eastAsia="Arial" w:hAnsi="Arial"/>
          <w:sz w:val="20"/>
          <w:szCs w:val="20"/>
        </w:rPr>
        <w:t xml:space="preserve">Social Director, NYSC Platoon 1 — organized platoon engagement and welfare programs.</w:t>
      </w:r>
    </w:p>
    <w:p>
      <w:pPr>
        <w:pStyle w:val="ListParagraph"/>
        <w:numPr>
          <w:ilvl w:val="0"/>
          <w:numId w:val="2"/>
        </w:numPr>
        <w:spacing w:after="60"/>
      </w:pPr>
      <w:r>
        <w:rPr>
          <w:rFonts w:ascii="Arial" w:cs="Arial" w:eastAsia="Arial" w:hAnsi="Arial"/>
          <w:sz w:val="20"/>
          <w:szCs w:val="20"/>
        </w:rPr>
        <w:t xml:space="preserve">Moot Court Participant, Falana's Chambers.</w:t>
      </w:r>
    </w:p>
    <w:p>
      <w:pPr>
        <w:pBdr>
          <w:bottom w:val="single" w:color="1F3864" w:sz="6" w:space="2"/>
        </w:pBdr>
        <w:spacing w:after="100" w:before="280"/>
      </w:pPr>
      <w:r>
        <w:rPr>
          <w:rFonts w:ascii="Arial" w:cs="Arial" w:eastAsia="Arial" w:hAnsi="Arial"/>
          <w:b/>
          <w:bCs/>
          <w:color w:val="1F3864"/>
          <w:sz w:val="22"/>
          <w:szCs w:val="22"/>
        </w:rPr>
        <w:t xml:space="preserve">REFERENCES</w:t>
      </w:r>
    </w:p>
    <w:p>
      <w:pPr>
        <w:spacing w:after="60"/>
      </w:pPr>
      <w:r>
        <w:rPr>
          <w:rFonts w:ascii="Arial" w:cs="Arial" w:eastAsia="Arial" w:hAnsi="Arial"/>
          <w:i w:val="false"/>
          <w:iCs w:val="false"/>
          <w:sz w:val="20"/>
          <w:szCs w:val="20"/>
        </w:rPr>
        <w:t xml:space="preserve">Available upon request.</w:t>
      </w:r>
    </w:p>
    <w:sectPr>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2026-06-30T11:38:08.375Z</dcterms:created>
  <dcterms:modified xsi:type="dcterms:W3CDTF">2026-06-30T11:38:08.375Z</dcterms:modified>
</cp:coreProperties>
</file>

<file path=docProps/custom.xml><?xml version="1.0" encoding="utf-8"?>
<Properties xmlns="http://schemas.openxmlformats.org/officeDocument/2006/custom-properties" xmlns:vt="http://schemas.openxmlformats.org/officeDocument/2006/docPropsVTypes"/>
</file>