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0B5345"/>
          <w:sz w:val="40"/>
          <w:szCs w:val="40"/>
        </w:rPr>
        <w:t xml:space="preserve">OLUFEMI ABIODUN, PMP</w:t>
      </w:r>
    </w:p>
    <w:p>
      <w:pPr>
        <w:spacing w:after="40" w:before="0"/>
      </w:pPr>
      <w:r>
        <w:rPr>
          <w:rFonts w:ascii="Arial" w:cs="Arial" w:eastAsia="Arial" w:hAnsi="Arial"/>
          <w:color w:val="444444"/>
          <w:sz w:val="24"/>
          <w:szCs w:val="24"/>
        </w:rPr>
        <w:t xml:space="preserve">Strategy &amp; Business Analytics Professional  |  Process Transformation  |  Programme Governance</w:t>
      </w:r>
    </w:p>
    <w:p>
      <w:pPr>
        <w:spacing w:after="80" w:before="0"/>
      </w:pPr>
      <w:r>
        <w:rPr>
          <w:rFonts w:ascii="Arial" w:cs="Arial" w:eastAsia="Arial" w:hAnsi="Arial"/>
          <w:color w:val="555555"/>
          <w:sz w:val="20"/>
          <w:szCs w:val="20"/>
        </w:rPr>
        <w:t xml:space="preserve">Lagos, Nigeria  |  +234 802 779 7579  |  +234 803 270 9339  |  olufemilite@gmail.com</w:t>
      </w:r>
    </w:p>
    <w:p>
      <w:pPr>
        <w:pBdr>
          <w:bottom w:val="single" w:color="0B5345" w:sz="8" w:space="4"/>
        </w:pBdr>
        <w:spacing w:after="60" w:before="220"/>
      </w:pPr>
      <w:r>
        <w:rPr>
          <w:rFonts w:ascii="Arial" w:cs="Arial" w:eastAsia="Arial" w:hAnsi="Arial"/>
          <w:b/>
          <w:bCs/>
          <w:color w:val="0B5345"/>
          <w:sz w:val="24"/>
          <w:szCs w:val="24"/>
        </w:rPr>
        <w:t xml:space="preserve">PROFESSIONAL SUMMARY</w:t>
      </w:r>
    </w:p>
    <w:p>
      <w:pPr>
        <w:spacing w:after="60" w:before="60"/>
      </w:pPr>
      <w:r>
        <w:rPr>
          <w:rFonts w:ascii="Arial" w:cs="Arial" w:eastAsia="Arial" w:hAnsi="Arial"/>
          <w:sz w:val="20"/>
          <w:szCs w:val="20"/>
        </w:rPr>
        <w:t xml:space="preserve">PMP-certified strategy and analytics professional with an MBA in Finance and over 10 years of experience supporting corporate strategy execution, revenue and profitability analysis, and business process transformation. Background includes nine years in revenue management and analytics within a large, regulated financial operations environment, building the data discipline and commercial acumen that underpin strong strategic decision support. Provides dotted-line guidance and analytical input to revenue and PMO functions, helping translate strategic priorities into measurable operational outcomes. Skilled in Advanced Excel, SQL, and Power BI, with hands-on experience building dashboards and reports for executive decision-making, conducting profitability and performance analysis, and overseeing budgeting and cost-optimisation initiatives within project and programme delivery. Strong track record managing complex stakeholder environments, leading process improvement and digital transformation initiatives, and bridging the gap between business strategy and technical execution. Brings the analytical rigour, governance discipline, and stakeholder influence needed to support strategic decision-making at the executive level.</w:t>
      </w:r>
    </w:p>
    <w:p>
      <w:pPr>
        <w:pBdr>
          <w:bottom w:val="single" w:color="0B5345" w:sz="8" w:space="4"/>
        </w:pBdr>
        <w:spacing w:after="60" w:before="220"/>
      </w:pPr>
      <w:r>
        <w:rPr>
          <w:rFonts w:ascii="Arial" w:cs="Arial" w:eastAsia="Arial" w:hAnsi="Arial"/>
          <w:b/>
          <w:bCs/>
          <w:color w:val="0B5345"/>
          <w:sz w:val="24"/>
          <w:szCs w:val="24"/>
        </w:rPr>
        <w:t xml:space="preserve">CORE COMPETENCIES</w:t>
      </w:r>
    </w:p>
    <w:p>
      <w:pPr>
        <w:spacing w:after="80" w:before="80"/>
      </w:pPr>
      <w:r>
        <w:rPr>
          <w:rFonts w:ascii="Arial" w:cs="Arial" w:eastAsia="Arial" w:hAnsi="Arial"/>
          <w:color w:val="333333"/>
          <w:sz w:val="20"/>
          <w:szCs w:val="20"/>
        </w:rPr>
        <w:t xml:space="preserve">Strategic Planning Support &amp; Execution  •  Market &amp; Performance Analysis  •  Business Process Transformation  •  Budgeting, Forecasting &amp; Cost Optimisation  •  Stakeholder Governance &amp; Alignment  •  Programme &amp; Project Management  •  Risk Management &amp; Performance Monitoring  •  Executive Reporting &amp; Dashboard Design  •  Advanced Excel, SQL &amp; Power BI  •  Team Mentoring &amp; Capability Development  •  Process Automation &amp; Digital Transformation  •  Presentation &amp; Stakeholder Communication</w:t>
      </w:r>
    </w:p>
    <w:p>
      <w:pPr>
        <w:pBdr>
          <w:bottom w:val="single" w:color="0B5345" w:sz="8" w:space="4"/>
        </w:pBdr>
        <w:spacing w:after="60" w:before="220"/>
      </w:pPr>
      <w:r>
        <w:rPr>
          <w:rFonts w:ascii="Arial" w:cs="Arial" w:eastAsia="Arial" w:hAnsi="Arial"/>
          <w:b/>
          <w:bCs/>
          <w:color w:val="0B5345"/>
          <w:sz w:val="24"/>
          <w:szCs w:val="24"/>
        </w:rPr>
        <w:t xml:space="preserve">PROFESSIONAL EXPERIENCE</w:t>
      </w:r>
    </w:p>
    <w:p>
      <w:pPr>
        <w:spacing w:after="10" w:before="160"/>
      </w:pPr>
      <w:r>
        <w:rPr>
          <w:rFonts w:ascii="Arial" w:cs="Arial" w:eastAsia="Arial" w:hAnsi="Arial"/>
          <w:b/>
          <w:bCs/>
          <w:sz w:val="23"/>
          <w:szCs w:val="23"/>
        </w:rPr>
        <w:t xml:space="preserve">Senior Project Manager</w:t>
      </w:r>
    </w:p>
    <w:p>
      <w:pPr>
        <w:spacing w:after="60" w:before="0"/>
      </w:pPr>
      <w:r>
        <w:rPr>
          <w:rFonts w:ascii="Arial" w:cs="Arial" w:eastAsia="Arial" w:hAnsi="Arial"/>
          <w:b/>
          <w:bCs/>
          <w:color w:val="0B5345"/>
          <w:sz w:val="20"/>
          <w:szCs w:val="20"/>
        </w:rPr>
        <w:t xml:space="preserve">Helium Health</w:t>
      </w:r>
      <w:r>
        <w:rPr>
          <w:rFonts w:ascii="Arial" w:cs="Arial" w:eastAsia="Arial" w:hAnsi="Arial"/>
          <w:i/>
          <w:iCs/>
          <w:color w:val="777777"/>
          <w:sz w:val="20"/>
          <w:szCs w:val="20"/>
        </w:rPr>
        <w:t xml:space="preserve">  •  July 2022 – Present</w:t>
      </w:r>
    </w:p>
    <w:p>
      <w:pPr>
        <w:spacing w:after="60" w:before="60"/>
      </w:pPr>
      <w:r>
        <w:rPr>
          <w:rFonts w:ascii="Arial" w:cs="Arial" w:eastAsia="Arial" w:hAnsi="Arial"/>
          <w:i/>
          <w:iCs/>
          <w:color w:val="444444"/>
          <w:sz w:val="20"/>
          <w:szCs w:val="20"/>
        </w:rPr>
        <w:t xml:space="preserve">Support strategic execution and business analytics across a portfolio of digital transformation programmes, providing data-driven insight to senior leadership and dotted-line guidance to the Growth and PMO functions to strengthen performance and execution discipline.</w:t>
      </w:r>
    </w:p>
    <w:p>
      <w:pPr>
        <w:pStyle w:val="ListParagraph"/>
        <w:numPr>
          <w:ilvl w:val="0"/>
          <w:numId w:val="2"/>
        </w:numPr>
        <w:spacing w:after="40" w:before="40"/>
      </w:pPr>
      <w:r>
        <w:rPr>
          <w:rFonts w:ascii="Arial" w:cs="Arial" w:eastAsia="Arial" w:hAnsi="Arial"/>
          <w:sz w:val="20"/>
          <w:szCs w:val="20"/>
        </w:rPr>
        <w:t xml:space="preserve">Contribute directly to strategic and budget planning discussions with senior leadership, providing data-driven input on resource allocation, programme prioritisation, and cost-optimisation decisions tied to business objectives.</w:t>
      </w:r>
    </w:p>
    <w:p>
      <w:pPr>
        <w:pStyle w:val="ListParagraph"/>
        <w:numPr>
          <w:ilvl w:val="0"/>
          <w:numId w:val="2"/>
        </w:numPr>
        <w:spacing w:after="40" w:before="40"/>
      </w:pPr>
      <w:r>
        <w:rPr>
          <w:rFonts w:ascii="Arial" w:cs="Arial" w:eastAsia="Arial" w:hAnsi="Arial"/>
          <w:sz w:val="20"/>
          <w:szCs w:val="20"/>
        </w:rPr>
        <w:t xml:space="preserve">Provide dotted-line guidance and analytical support to the Growth team lead, helping refine revenue collection strategies and identify opportunities to strengthen commercial performance.</w:t>
      </w:r>
    </w:p>
    <w:p>
      <w:pPr>
        <w:pStyle w:val="ListParagraph"/>
        <w:numPr>
          <w:ilvl w:val="0"/>
          <w:numId w:val="2"/>
        </w:numPr>
        <w:spacing w:after="40" w:before="40"/>
      </w:pPr>
      <w:r>
        <w:rPr>
          <w:rFonts w:ascii="Arial" w:cs="Arial" w:eastAsia="Arial" w:hAnsi="Arial"/>
          <w:sz w:val="20"/>
          <w:szCs w:val="20"/>
        </w:rPr>
        <w:t xml:space="preserve">Provide dotted-line guidance to the PMO team lead, strengthening governance frameworks, performance management systems, and programme delivery consistency across the organisation.</w:t>
      </w:r>
    </w:p>
    <w:p>
      <w:pPr>
        <w:pStyle w:val="ListParagraph"/>
        <w:numPr>
          <w:ilvl w:val="0"/>
          <w:numId w:val="2"/>
        </w:numPr>
        <w:spacing w:after="40" w:before="40"/>
      </w:pPr>
      <w:r>
        <w:rPr>
          <w:rFonts w:ascii="Arial" w:cs="Arial" w:eastAsia="Arial" w:hAnsi="Arial"/>
          <w:sz w:val="20"/>
          <w:szCs w:val="20"/>
        </w:rPr>
        <w:t xml:space="preserve">Conduct performance and profitability analysis across concurrent programmes, identifying risks, inefficiencies, and opportunities to inform leadership decision-making.</w:t>
      </w:r>
    </w:p>
    <w:p>
      <w:pPr>
        <w:pStyle w:val="ListParagraph"/>
        <w:numPr>
          <w:ilvl w:val="0"/>
          <w:numId w:val="2"/>
        </w:numPr>
        <w:spacing w:after="40" w:before="40"/>
      </w:pPr>
      <w:r>
        <w:rPr>
          <w:rFonts w:ascii="Arial" w:cs="Arial" w:eastAsia="Arial" w:hAnsi="Arial"/>
          <w:sz w:val="20"/>
          <w:szCs w:val="20"/>
        </w:rPr>
        <w:t xml:space="preserve">Lead business process reviews and digital transformation initiatives across multiple healthcare client accounts, identifying opportunities for process optimisation, automation, and measurable improvement in delivery outcomes.</w:t>
      </w:r>
    </w:p>
    <w:p>
      <w:pPr>
        <w:pStyle w:val="ListParagraph"/>
        <w:numPr>
          <w:ilvl w:val="0"/>
          <w:numId w:val="2"/>
        </w:numPr>
        <w:spacing w:after="40" w:before="40"/>
      </w:pPr>
      <w:r>
        <w:rPr>
          <w:rFonts w:ascii="Arial" w:cs="Arial" w:eastAsia="Arial" w:hAnsi="Arial"/>
          <w:sz w:val="20"/>
          <w:szCs w:val="20"/>
        </w:rPr>
        <w:t xml:space="preserve">Provide governance and oversight for requirements definition, solution delivery, and implementation readiness for major digital health platforms and systems.</w:t>
      </w:r>
    </w:p>
    <w:p>
      <w:pPr>
        <w:pStyle w:val="ListParagraph"/>
        <w:numPr>
          <w:ilvl w:val="0"/>
          <w:numId w:val="2"/>
        </w:numPr>
        <w:spacing w:after="40" w:before="40"/>
      </w:pPr>
      <w:r>
        <w:rPr>
          <w:rFonts w:ascii="Arial" w:cs="Arial" w:eastAsia="Arial" w:hAnsi="Arial"/>
          <w:sz w:val="20"/>
          <w:szCs w:val="20"/>
        </w:rPr>
        <w:t xml:space="preserve">Manage strategic projects end-to-end, including planning, prioritisation, risk management, and performance monitoring across concurrent, multi-stakeholder initiatives.</w:t>
      </w:r>
    </w:p>
    <w:p>
      <w:pPr>
        <w:pStyle w:val="ListParagraph"/>
        <w:numPr>
          <w:ilvl w:val="0"/>
          <w:numId w:val="2"/>
        </w:numPr>
        <w:spacing w:after="40" w:before="40"/>
      </w:pPr>
      <w:r>
        <w:rPr>
          <w:rFonts w:ascii="Arial" w:cs="Arial" w:eastAsia="Arial" w:hAnsi="Arial"/>
          <w:sz w:val="20"/>
          <w:szCs w:val="20"/>
        </w:rPr>
        <w:t xml:space="preserve">Serve as primary liaison between senior stakeholders, business units, and technical teams, ensuring alignment, clarity, and effective delivery of strategic initiatives.</w:t>
      </w:r>
    </w:p>
    <w:p>
      <w:pPr>
        <w:pStyle w:val="ListParagraph"/>
        <w:numPr>
          <w:ilvl w:val="0"/>
          <w:numId w:val="2"/>
        </w:numPr>
        <w:spacing w:after="40" w:before="40"/>
      </w:pPr>
      <w:r>
        <w:rPr>
          <w:rFonts w:ascii="Arial" w:cs="Arial" w:eastAsia="Arial" w:hAnsi="Arial"/>
          <w:sz w:val="20"/>
          <w:szCs w:val="20"/>
        </w:rPr>
        <w:t xml:space="preserve">Prepare and present executive reports, KPI dashboards, and risk summaries using Power BI and Advanced Excel, giving leadership clear visibility into programme performance and decisions required.</w:t>
      </w:r>
    </w:p>
    <w:p>
      <w:pPr>
        <w:pStyle w:val="ListParagraph"/>
        <w:numPr>
          <w:ilvl w:val="0"/>
          <w:numId w:val="2"/>
        </w:numPr>
        <w:spacing w:after="40" w:before="40"/>
      </w:pPr>
      <w:r>
        <w:rPr>
          <w:rFonts w:ascii="Arial" w:cs="Arial" w:eastAsia="Arial" w:hAnsi="Arial"/>
          <w:sz w:val="20"/>
          <w:szCs w:val="20"/>
        </w:rPr>
        <w:t xml:space="preserve">Facilitate cross-functional planning sessions and stakeholder workshops to drive alignment, resolve operational challenges, and accelerate decision-making.</w:t>
      </w:r>
    </w:p>
    <w:p>
      <w:pPr>
        <w:pStyle w:val="ListParagraph"/>
        <w:numPr>
          <w:ilvl w:val="0"/>
          <w:numId w:val="2"/>
        </w:numPr>
        <w:spacing w:after="40" w:before="40"/>
      </w:pPr>
      <w:r>
        <w:rPr>
          <w:rFonts w:ascii="Arial" w:cs="Arial" w:eastAsia="Arial" w:hAnsi="Arial"/>
          <w:sz w:val="20"/>
          <w:szCs w:val="20"/>
        </w:rPr>
        <w:t xml:space="preserve">Mentor and develop team members across project and analytics functions, fostering capability development and supporting knowledge transfer across the organisation.</w:t>
      </w:r>
    </w:p>
    <w:p>
      <w:pPr>
        <w:spacing w:after="0" w:before="60"/>
      </w:pPr>
      <w:r>
        <w:t xml:space="preserve"/>
      </w:r>
    </w:p>
    <w:p>
      <w:pPr>
        <w:spacing w:after="10" w:before="160"/>
      </w:pPr>
      <w:r>
        <w:rPr>
          <w:rFonts w:ascii="Arial" w:cs="Arial" w:eastAsia="Arial" w:hAnsi="Arial"/>
          <w:b/>
          <w:bCs/>
          <w:sz w:val="23"/>
          <w:szCs w:val="23"/>
        </w:rPr>
        <w:t xml:space="preserve">Operations Revenue Analyst (Revenue Management &amp; Analytics)</w:t>
      </w:r>
    </w:p>
    <w:p>
      <w:pPr>
        <w:spacing w:after="60" w:before="0"/>
      </w:pPr>
      <w:r>
        <w:rPr>
          <w:rFonts w:ascii="Arial" w:cs="Arial" w:eastAsia="Arial" w:hAnsi="Arial"/>
          <w:b/>
          <w:bCs/>
          <w:color w:val="0B5345"/>
          <w:sz w:val="20"/>
          <w:szCs w:val="20"/>
        </w:rPr>
        <w:t xml:space="preserve">Lekki Concession Company Ltd (LCC)</w:t>
      </w:r>
      <w:r>
        <w:rPr>
          <w:rFonts w:ascii="Arial" w:cs="Arial" w:eastAsia="Arial" w:hAnsi="Arial"/>
          <w:i/>
          <w:iCs/>
          <w:color w:val="777777"/>
          <w:sz w:val="20"/>
          <w:szCs w:val="20"/>
        </w:rPr>
        <w:t xml:space="preserve">  •  April 2013 – July 2022</w:t>
      </w:r>
    </w:p>
    <w:p>
      <w:pPr>
        <w:spacing w:after="60" w:before="60"/>
      </w:pPr>
      <w:r>
        <w:rPr>
          <w:rFonts w:ascii="Arial" w:cs="Arial" w:eastAsia="Arial" w:hAnsi="Arial"/>
          <w:i/>
          <w:iCs/>
          <w:color w:val="444444"/>
          <w:sz w:val="20"/>
          <w:szCs w:val="20"/>
        </w:rPr>
        <w:t xml:space="preserve">Provided strategic and analytical support to senior leadership within a major government-regulated revenue operations business, conducting market and performance analysis, building forecasting models using Excel and SQL, and supporting process transformation initiatives over a nine-year tenure.</w:t>
      </w:r>
    </w:p>
    <w:p>
      <w:pPr>
        <w:pStyle w:val="ListParagraph"/>
        <w:numPr>
          <w:ilvl w:val="0"/>
          <w:numId w:val="2"/>
        </w:numPr>
        <w:spacing w:after="40" w:before="40"/>
      </w:pPr>
      <w:r>
        <w:rPr>
          <w:rFonts w:ascii="Arial" w:cs="Arial" w:eastAsia="Arial" w:hAnsi="Arial"/>
          <w:sz w:val="20"/>
          <w:szCs w:val="20"/>
        </w:rPr>
        <w:t xml:space="preserve">Conducted comprehensive performance and variance analysis across multiple revenue channels, querying and analysing transactional data with SQL to provide senior leadership with data-driven insights for strategic and operational decisions.</w:t>
      </w:r>
    </w:p>
    <w:p>
      <w:pPr>
        <w:pStyle w:val="ListParagraph"/>
        <w:numPr>
          <w:ilvl w:val="0"/>
          <w:numId w:val="2"/>
        </w:numPr>
        <w:spacing w:after="40" w:before="40"/>
      </w:pPr>
      <w:r>
        <w:rPr>
          <w:rFonts w:ascii="Arial" w:cs="Arial" w:eastAsia="Arial" w:hAnsi="Arial"/>
          <w:sz w:val="20"/>
          <w:szCs w:val="20"/>
        </w:rPr>
        <w:t xml:space="preserve">Built advanced analytical models and forecasting tools in Excel to support budgeting, planning, and resource allocation aligned to business objectives.</w:t>
      </w:r>
    </w:p>
    <w:p>
      <w:pPr>
        <w:pStyle w:val="ListParagraph"/>
        <w:numPr>
          <w:ilvl w:val="0"/>
          <w:numId w:val="2"/>
        </w:numPr>
        <w:spacing w:after="40" w:before="40"/>
      </w:pPr>
      <w:r>
        <w:rPr>
          <w:rFonts w:ascii="Arial" w:cs="Arial" w:eastAsia="Arial" w:hAnsi="Arial"/>
          <w:sz w:val="20"/>
          <w:szCs w:val="20"/>
        </w:rPr>
        <w:t xml:space="preserve">Designed dashboards and management information reports for executive decision-making, improving visibility into performance trends, risk, and market dynamics.</w:t>
      </w:r>
    </w:p>
    <w:p>
      <w:pPr>
        <w:pStyle w:val="ListParagraph"/>
        <w:numPr>
          <w:ilvl w:val="0"/>
          <w:numId w:val="2"/>
        </w:numPr>
        <w:spacing w:after="40" w:before="40"/>
      </w:pPr>
      <w:r>
        <w:rPr>
          <w:rFonts w:ascii="Arial" w:cs="Arial" w:eastAsia="Arial" w:hAnsi="Arial"/>
          <w:sz w:val="20"/>
          <w:szCs w:val="20"/>
        </w:rPr>
        <w:t xml:space="preserve">Led process improvement and transformation initiatives across operational teams, identifying inefficiencies and implementing changes that improved revenue performance and data accuracy.</w:t>
      </w:r>
    </w:p>
    <w:p>
      <w:pPr>
        <w:pStyle w:val="ListParagraph"/>
        <w:numPr>
          <w:ilvl w:val="0"/>
          <w:numId w:val="2"/>
        </w:numPr>
        <w:spacing w:after="40" w:before="40"/>
      </w:pPr>
      <w:r>
        <w:rPr>
          <w:rFonts w:ascii="Arial" w:cs="Arial" w:eastAsia="Arial" w:hAnsi="Arial"/>
          <w:sz w:val="20"/>
          <w:szCs w:val="20"/>
        </w:rPr>
        <w:t xml:space="preserve">Managed a complex stakeholder landscape spanning internal departments, commercial partners, and government regulators, ensuring alignment and clear communication across all levels.</w:t>
      </w:r>
    </w:p>
    <w:p>
      <w:pPr>
        <w:spacing w:after="0" w:before="60"/>
      </w:pPr>
      <w:r>
        <w:t xml:space="preserve"/>
      </w:r>
    </w:p>
    <w:p>
      <w:pPr>
        <w:spacing w:after="10" w:before="160"/>
      </w:pPr>
      <w:r>
        <w:rPr>
          <w:rFonts w:ascii="Arial" w:cs="Arial" w:eastAsia="Arial" w:hAnsi="Arial"/>
          <w:b/>
          <w:bCs/>
          <w:sz w:val="23"/>
          <w:szCs w:val="23"/>
        </w:rPr>
        <w:t xml:space="preserve">Operations Finance Officer</w:t>
      </w:r>
    </w:p>
    <w:p>
      <w:pPr>
        <w:spacing w:after="60" w:before="0"/>
      </w:pPr>
      <w:r>
        <w:rPr>
          <w:rFonts w:ascii="Arial" w:cs="Arial" w:eastAsia="Arial" w:hAnsi="Arial"/>
          <w:b/>
          <w:bCs/>
          <w:color w:val="0B5345"/>
          <w:sz w:val="20"/>
          <w:szCs w:val="20"/>
        </w:rPr>
        <w:t xml:space="preserve">Lekki Concession Company Ltd (LCC)</w:t>
      </w:r>
      <w:r>
        <w:rPr>
          <w:rFonts w:ascii="Arial" w:cs="Arial" w:eastAsia="Arial" w:hAnsi="Arial"/>
          <w:i/>
          <w:iCs/>
          <w:color w:val="777777"/>
          <w:sz w:val="20"/>
          <w:szCs w:val="20"/>
        </w:rPr>
        <w:t xml:space="preserve">  •  March 2010 – April 2013</w:t>
      </w:r>
    </w:p>
    <w:p>
      <w:pPr>
        <w:pStyle w:val="ListParagraph"/>
        <w:numPr>
          <w:ilvl w:val="0"/>
          <w:numId w:val="2"/>
        </w:numPr>
        <w:spacing w:after="40" w:before="40"/>
      </w:pPr>
      <w:r>
        <w:rPr>
          <w:rFonts w:ascii="Arial" w:cs="Arial" w:eastAsia="Arial" w:hAnsi="Arial"/>
          <w:sz w:val="20"/>
          <w:szCs w:val="20"/>
        </w:rPr>
        <w:t xml:space="preserve">Managed financial operations and compliance reporting, building a strong foundation in governance, accuracy, and structured decision-making.</w:t>
      </w:r>
    </w:p>
    <w:p>
      <w:pPr>
        <w:pStyle w:val="ListParagraph"/>
        <w:numPr>
          <w:ilvl w:val="0"/>
          <w:numId w:val="2"/>
        </w:numPr>
        <w:spacing w:after="40" w:before="40"/>
      </w:pPr>
      <w:r>
        <w:rPr>
          <w:rFonts w:ascii="Arial" w:cs="Arial" w:eastAsia="Arial" w:hAnsi="Arial"/>
          <w:sz w:val="20"/>
          <w:szCs w:val="20"/>
        </w:rPr>
        <w:t xml:space="preserve">Qualified as an internal auditor for ISO 9001:2015 QMS, reflecting an early commitment to performance management and quality standards.</w:t>
      </w:r>
    </w:p>
    <w:p>
      <w:pPr>
        <w:pBdr>
          <w:bottom w:val="single" w:color="0B5345" w:sz="8" w:space="4"/>
        </w:pBdr>
        <w:spacing w:after="60" w:before="220"/>
      </w:pPr>
      <w:r>
        <w:rPr>
          <w:rFonts w:ascii="Arial" w:cs="Arial" w:eastAsia="Arial" w:hAnsi="Arial"/>
          <w:b/>
          <w:bCs/>
          <w:color w:val="0B5345"/>
          <w:sz w:val="24"/>
          <w:szCs w:val="24"/>
        </w:rPr>
        <w:t xml:space="preserve">EDUCATION</w:t>
      </w:r>
    </w:p>
    <w:p>
      <w:pPr>
        <w:spacing w:after="40" w:before="80"/>
      </w:pPr>
      <w:r>
        <w:rPr>
          <w:rFonts w:ascii="Arial" w:cs="Arial" w:eastAsia="Arial" w:hAnsi="Arial"/>
          <w:b/>
          <w:bCs/>
          <w:sz w:val="20"/>
          <w:szCs w:val="20"/>
        </w:rPr>
        <w:t xml:space="preserve">MBA (Finance)</w:t>
      </w:r>
      <w:r>
        <w:rPr>
          <w:rFonts w:ascii="Arial" w:cs="Arial" w:eastAsia="Arial" w:hAnsi="Arial"/>
          <w:color w:val="555555"/>
          <w:sz w:val="20"/>
          <w:szCs w:val="20"/>
        </w:rPr>
        <w:t xml:space="preserve">  |  Lagos State University  |  2011 –2013</w:t>
      </w:r>
    </w:p>
    <w:p>
      <w:pPr>
        <w:spacing w:after="40" w:before="40"/>
      </w:pPr>
      <w:r>
        <w:rPr>
          <w:rFonts w:ascii="Arial" w:cs="Arial" w:eastAsia="Arial" w:hAnsi="Arial"/>
          <w:b/>
          <w:bCs/>
          <w:sz w:val="20"/>
          <w:szCs w:val="20"/>
        </w:rPr>
        <w:t xml:space="preserve">B.Sc. Economics</w:t>
      </w:r>
      <w:r>
        <w:rPr>
          <w:rFonts w:ascii="Arial" w:cs="Arial" w:eastAsia="Arial" w:hAnsi="Arial"/>
          <w:color w:val="555555"/>
          <w:sz w:val="20"/>
          <w:szCs w:val="20"/>
        </w:rPr>
        <w:t xml:space="preserve">  |  University of Ado-Ekiti  |  2002 –2006</w:t>
      </w:r>
    </w:p>
    <w:p>
      <w:pPr>
        <w:pBdr>
          <w:bottom w:val="single" w:color="0B5345" w:sz="8" w:space="4"/>
        </w:pBdr>
        <w:spacing w:after="60" w:before="220"/>
      </w:pPr>
      <w:r>
        <w:rPr>
          <w:rFonts w:ascii="Arial" w:cs="Arial" w:eastAsia="Arial" w:hAnsi="Arial"/>
          <w:b/>
          <w:bCs/>
          <w:color w:val="0B5345"/>
          <w:sz w:val="24"/>
          <w:szCs w:val="24"/>
        </w:rPr>
        <w:t xml:space="preserve">CERTIFICATIONS</w:t>
      </w:r>
    </w:p>
    <w:p>
      <w:pPr>
        <w:pStyle w:val="ListParagraph"/>
        <w:numPr>
          <w:ilvl w:val="0"/>
          <w:numId w:val="2"/>
        </w:numPr>
        <w:spacing w:after="40" w:before="40"/>
      </w:pPr>
      <w:r>
        <w:rPr>
          <w:rFonts w:ascii="Arial" w:cs="Arial" w:eastAsia="Arial" w:hAnsi="Arial"/>
          <w:sz w:val="20"/>
          <w:szCs w:val="20"/>
        </w:rPr>
        <w:t xml:space="preserve">Project Management Professional (PMP) – PMI, 2025</w:t>
      </w:r>
    </w:p>
    <w:p>
      <w:pPr>
        <w:pStyle w:val="ListParagraph"/>
        <w:numPr>
          <w:ilvl w:val="0"/>
          <w:numId w:val="2"/>
        </w:numPr>
        <w:spacing w:after="40" w:before="40"/>
      </w:pPr>
      <w:r>
        <w:rPr>
          <w:rFonts w:ascii="Arial" w:cs="Arial" w:eastAsia="Arial" w:hAnsi="Arial"/>
          <w:sz w:val="20"/>
          <w:szCs w:val="20"/>
        </w:rPr>
        <w:t xml:space="preserve">Chartered Management Consultant (CMC) – CIMC, 2024</w:t>
      </w:r>
    </w:p>
    <w:p>
      <w:pPr>
        <w:pStyle w:val="ListParagraph"/>
        <w:numPr>
          <w:ilvl w:val="0"/>
          <w:numId w:val="2"/>
        </w:numPr>
        <w:spacing w:after="40" w:before="40"/>
      </w:pPr>
      <w:r>
        <w:rPr>
          <w:rFonts w:ascii="Arial" w:cs="Arial" w:eastAsia="Arial" w:hAnsi="Arial"/>
          <w:sz w:val="20"/>
          <w:szCs w:val="20"/>
        </w:rPr>
        <w:t xml:space="preserve">Full Stack Data Science – 10Alytics, 2022</w:t>
      </w:r>
    </w:p>
    <w:p>
      <w:pPr>
        <w:pBdr>
          <w:bottom w:val="single" w:color="0B5345" w:sz="8" w:space="4"/>
        </w:pBdr>
        <w:spacing w:after="60" w:before="220"/>
      </w:pPr>
      <w:r>
        <w:rPr>
          <w:rFonts w:ascii="Arial" w:cs="Arial" w:eastAsia="Arial" w:hAnsi="Arial"/>
          <w:b/>
          <w:bCs/>
          <w:color w:val="0B5345"/>
          <w:sz w:val="24"/>
          <w:szCs w:val="24"/>
        </w:rPr>
        <w:t xml:space="preserve">TECHNICAL SKILLS</w:t>
      </w:r>
    </w:p>
    <w:p>
      <w:pPr>
        <w:spacing w:after="80" w:before="80"/>
      </w:pPr>
      <w:r>
        <w:rPr>
          <w:rFonts w:ascii="Arial" w:cs="Arial" w:eastAsia="Arial" w:hAnsi="Arial"/>
          <w:sz w:val="20"/>
          <w:szCs w:val="20"/>
        </w:rPr>
        <w:t xml:space="preserve">Advanced Microsoft Excel  •  Power BI  •  Google Sheets  •  JIRA  •  Microsoft Office Suite  •  Market &amp; Profitability Analysis  •  Budgeting &amp; Forecasting  •  Dashboard &amp; Executive Reporting  •  Agile &amp; Waterfall Project Management</w:t>
      </w:r>
    </w:p>
    <w:sectPr>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2026-06-25T22:37:30.312Z</dcterms:created>
  <dcterms:modified xsi:type="dcterms:W3CDTF">2026-06-25T22:37:30.326Z</dcterms:modified>
</cp:coreProperties>
</file>

<file path=docProps/custom.xml><?xml version="1.0" encoding="utf-8"?>
<Properties xmlns="http://schemas.openxmlformats.org/officeDocument/2006/custom-properties" xmlns:vt="http://schemas.openxmlformats.org/officeDocument/2006/docPropsVTypes"/>
</file>